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sz w:val="84"/>
        </w:rPr>
      </w:pPr>
      <w:r>
        <w:rPr>
          <w:rFonts w:eastAsia="黑体"/>
          <w:b/>
          <w:bCs/>
          <w:sz w:val="84"/>
        </w:rPr>
      </w:r>
      <w:r/>
    </w:p>
    <w:p>
      <w:pPr>
        <w:pStyle w:val="987"/>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left="173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ind w:left="1736" w:hanging="371"/>
        <w:spacing w:line="360" w:lineRule="auto"/>
        <w:tabs>
          <w:tab w:val="left" w:pos="3240" w:leader="none"/>
          <w:tab w:val="left" w:pos="3420" w:leader="none"/>
        </w:tabs>
        <w:rPr>
          <w:rFonts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常州市机关事务管理局2025年度公务车辆采购项目</w:t>
      </w:r>
      <w:r/>
    </w:p>
    <w:p>
      <w:pPr>
        <w:ind w:left="1736" w:hanging="371"/>
        <w:spacing w:line="360" w:lineRule="auto"/>
        <w:tabs>
          <w:tab w:val="left" w:pos="3240" w:leader="none"/>
          <w:tab w:val="left" w:pos="3420" w:leader="none"/>
        </w:tabs>
        <w:rPr>
          <w:rFonts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JSZC-320400-JZCG-G2025-0365</w:t>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87"/>
        <w:ind w:firstLine="0"/>
        <w:spacing w:before="0" w:after="0"/>
        <w:rPr>
          <w:rFonts w:ascii="宋体" w:hAnsi="宋体"/>
        </w:rPr>
      </w:pPr>
      <w:r>
        <w:rPr>
          <w:rFonts w:ascii="宋体" w:hAnsi="宋体"/>
        </w:rPr>
      </w:r>
      <w:r/>
    </w:p>
    <w:p>
      <w:pPr>
        <w:pStyle w:val="931"/>
        <w:spacing w:before="0" w:beforeAutospacing="0" w:after="0" w:afterAutospacing="0" w:line="360" w:lineRule="auto"/>
        <w:widowControl w:val="off"/>
      </w:pPr>
      <w:r/>
      <w:r/>
    </w:p>
    <w:p>
      <w:pPr>
        <w:pStyle w:val="931"/>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931"/>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w:t>
      </w:r>
      <w:r>
        <w:rPr>
          <w:rFonts w:hint="eastAsia" w:ascii="等线" w:hAnsi="等线" w:eastAsia="等线" w:cs="等线"/>
          <w:bCs/>
          <w:sz w:val="36"/>
          <w:szCs w:val="36"/>
          <w:lang w:bidi="ar"/>
        </w:rPr>
        <w:t xml:space="preserve">5</w:t>
      </w:r>
      <w:r>
        <w:rPr>
          <w:rFonts w:hint="eastAsia" w:ascii="等线" w:hAnsi="等线" w:eastAsia="等线" w:cs="等线"/>
          <w:bCs/>
          <w:sz w:val="36"/>
          <w:szCs w:val="36"/>
          <w:lang w:bidi="ar"/>
        </w:rPr>
        <w:t xml:space="preserve">年</w:t>
      </w:r>
      <w:r>
        <w:rPr>
          <w:rFonts w:hint="eastAsia" w:ascii="等线" w:hAnsi="等线" w:eastAsia="等线" w:cs="等线"/>
          <w:bCs/>
          <w:sz w:val="36"/>
          <w:szCs w:val="36"/>
          <w:lang w:bidi="ar"/>
        </w:rPr>
        <w:t xml:space="preserve">9</w:t>
      </w:r>
      <w:r>
        <w:rPr>
          <w:rFonts w:hint="eastAsia" w:ascii="等线" w:hAnsi="等线" w:eastAsia="等线" w:cs="等线"/>
          <w:bCs/>
          <w:sz w:val="36"/>
          <w:szCs w:val="36"/>
          <w:lang w:bidi="ar"/>
        </w:rPr>
        <w:t xml:space="preserve">月15日</w:t>
      </w:r>
      <w:r/>
    </w:p>
    <w:p>
      <w:pPr>
        <w:pStyle w:val="987"/>
        <w:ind w:firstLine="0"/>
      </w:pPr>
      <w:r>
        <w:rPr>
          <w:rFonts w:hint="eastAsia"/>
        </w:rPr>
        <w:t xml:space="preserve">                        </w:t>
      </w:r>
      <w:r/>
    </w:p>
    <w:p>
      <w:pPr>
        <w:pStyle w:val="987"/>
        <w:ind w:firstLine="0"/>
      </w:pPr>
      <w:r/>
      <w:r/>
    </w:p>
    <w:p>
      <w:pPr>
        <w:pStyle w:val="987"/>
        <w:ind w:firstLine="0"/>
      </w:pPr>
      <w:r/>
      <w:r/>
    </w:p>
    <w:p>
      <w:pPr>
        <w:pStyle w:val="987"/>
        <w:ind w:firstLine="0"/>
        <w:rPr>
          <w:u w:val="single"/>
        </w:rPr>
      </w:pPr>
      <w:r>
        <w:rPr>
          <w:u w:val="single"/>
        </w:rPr>
      </w:r>
      <w:r/>
    </w:p>
    <w:p>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1015"/>
        <w:rPr>
          <w:rFonts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938"/>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1015"/>
        <w:rPr>
          <w:rFonts w:asciiTheme="minorHAnsi" w:hAnsiTheme="minorHAnsi" w:eastAsiaTheme="minorEastAsia" w:cstheme="minorBidi"/>
          <w:sz w:val="28"/>
          <w:szCs w:val="32"/>
          <w14:ligatures w14:val="standardContextual"/>
        </w:rPr>
      </w:pPr>
      <w:r/>
      <w:hyperlink w:tooltip="#_Toc175731537" w:anchor="_Toc175731537" w:history="1">
        <w:r>
          <w:rPr>
            <w:rStyle w:val="938"/>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1015"/>
        <w:rPr>
          <w:rFonts w:asciiTheme="minorHAnsi" w:hAnsiTheme="minorHAnsi" w:eastAsiaTheme="minorEastAsia" w:cstheme="minorBidi"/>
          <w:sz w:val="28"/>
          <w:szCs w:val="32"/>
          <w14:ligatures w14:val="standardContextual"/>
        </w:rPr>
      </w:pPr>
      <w:r/>
      <w:hyperlink w:tooltip="#_Toc175731538" w:anchor="_Toc175731538" w:history="1">
        <w:r>
          <w:rPr>
            <w:rStyle w:val="938"/>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20</w:t>
        </w:r>
        <w:r>
          <w:rPr>
            <w:sz w:val="28"/>
            <w:szCs w:val="28"/>
          </w:rPr>
          <w:fldChar w:fldCharType="end"/>
        </w:r>
      </w:hyperlink>
      <w:r/>
      <w:r/>
    </w:p>
    <w:p>
      <w:pPr>
        <w:pStyle w:val="1015"/>
        <w:rPr>
          <w:rFonts w:asciiTheme="minorHAnsi" w:hAnsiTheme="minorHAnsi" w:eastAsiaTheme="minorEastAsia" w:cstheme="minorBidi"/>
          <w:sz w:val="28"/>
          <w:szCs w:val="32"/>
          <w14:ligatures w14:val="standardContextual"/>
        </w:rPr>
      </w:pPr>
      <w:r/>
      <w:hyperlink w:tooltip="#_Toc175731539" w:anchor="_Toc175731539" w:history="1">
        <w:r>
          <w:rPr>
            <w:rStyle w:val="938"/>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1015"/>
        <w:rPr>
          <w:rFonts w:asciiTheme="minorHAnsi" w:hAnsiTheme="minorHAnsi" w:eastAsiaTheme="minorEastAsia" w:cstheme="minorBidi"/>
          <w:sz w:val="28"/>
          <w:szCs w:val="32"/>
          <w14:ligatures w14:val="standardContextual"/>
        </w:rPr>
      </w:pPr>
      <w:r/>
      <w:hyperlink w:tooltip="#_Toc175731540" w:anchor="_Toc175731540" w:history="1">
        <w:r>
          <w:rPr>
            <w:rStyle w:val="938"/>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42</w:t>
        </w:r>
        <w:r>
          <w:rPr>
            <w:sz w:val="28"/>
            <w:szCs w:val="28"/>
          </w:rPr>
          <w:fldChar w:fldCharType="end"/>
        </w:r>
      </w:hyperlink>
      <w:r/>
      <w:r/>
    </w:p>
    <w:p>
      <w:pPr>
        <w:pStyle w:val="1015"/>
        <w:rPr>
          <w:rFonts w:asciiTheme="minorHAnsi" w:hAnsiTheme="minorHAnsi" w:eastAsiaTheme="minorEastAsia" w:cstheme="minorBidi"/>
          <w:sz w:val="28"/>
          <w:szCs w:val="32"/>
          <w14:ligatures w14:val="standardContextual"/>
        </w:rPr>
      </w:pPr>
      <w:r/>
      <w:hyperlink w:tooltip="#_Toc175731541" w:anchor="_Toc175731541" w:history="1">
        <w:r>
          <w:rPr>
            <w:rStyle w:val="938"/>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46</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901"/>
        <w:rPr>
          <w:rFonts w:ascii="黑体" w:eastAsia="黑体"/>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901"/>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ascii="等线" w:hAnsi="等线" w:eastAsia="等线"/>
          <w:sz w:val="24"/>
          <w:szCs w:val="24"/>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常州市机关事务管理局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hint="eastAsia" w:ascii="等线" w:hAnsi="等线" w:eastAsia="等线"/>
          <w:sz w:val="24"/>
          <w:szCs w:val="24"/>
          <w:u w:val="single"/>
        </w:rPr>
        <w:t xml:space="preserve">常州市机关事务管理局2025年度公务车辆采购项目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JSZC-320400-JZCG-G2025-0365</w:t>
      </w:r>
      <w:r>
        <w:rPr>
          <w:rFonts w:hint="eastAsia" w:ascii="等线" w:hAnsi="等线" w:eastAsia="等线"/>
          <w:sz w:val="24"/>
          <w:szCs w:val="24"/>
        </w:rPr>
        <w:t xml:space="preserve">)项目进行公开招标采购，欢迎符合条件的供应商投标。</w:t>
      </w:r>
      <w:r/>
    </w:p>
    <w:p>
      <w:pPr>
        <w:pStyle w:val="903"/>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ascii="等线" w:hAnsi="等线" w:eastAsia="等线"/>
          <w:sz w:val="24"/>
          <w:szCs w:val="24"/>
        </w:rPr>
      </w:pPr>
      <w:r/>
      <w:bookmarkStart w:id="13" w:name="_Toc28359080"/>
      <w:r/>
      <w:bookmarkStart w:id="14" w:name="_Toc35393622"/>
      <w:r/>
      <w:bookmarkStart w:id="15" w:name="_Toc28359003"/>
      <w:r/>
      <w:bookmarkStart w:id="16" w:name="_Toc38985264"/>
      <w:r/>
      <w:bookmarkStart w:id="17" w:name="_Toc35393791"/>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JSZC-320400-JZCG-G2025-0365</w:t>
      </w:r>
      <w:r/>
    </w:p>
    <w:p>
      <w:pPr>
        <w:ind w:firstLine="480"/>
        <w:rPr>
          <w:rFonts w:ascii="等线" w:hAnsi="等线" w:eastAsia="等线"/>
          <w:sz w:val="24"/>
          <w:szCs w:val="24"/>
        </w:rPr>
      </w:pPr>
      <w:r>
        <w:rPr>
          <w:rFonts w:hint="eastAsia" w:ascii="等线" w:hAnsi="等线" w:eastAsia="等线"/>
          <w:sz w:val="24"/>
          <w:szCs w:val="24"/>
        </w:rPr>
        <w:t xml:space="preserve">2.项目名称：</w:t>
      </w:r>
      <w:r>
        <w:rPr>
          <w:rFonts w:hint="eastAsia" w:ascii="等线" w:hAnsi="等线" w:eastAsia="等线"/>
          <w:sz w:val="24"/>
          <w:szCs w:val="24"/>
        </w:rPr>
        <w:t xml:space="preserve">常州市机关事务管理局2025年度公务车辆采购项目</w:t>
      </w:r>
      <w:r/>
    </w:p>
    <w:p>
      <w:pPr>
        <w:ind w:firstLine="480"/>
        <w:rPr>
          <w:rFonts w:ascii="等线" w:hAnsi="等线" w:eastAsia="等线"/>
          <w:sz w:val="24"/>
          <w:szCs w:val="24"/>
        </w:rPr>
      </w:pPr>
      <w:r>
        <w:rPr>
          <w:rFonts w:hint="eastAsia" w:ascii="等线" w:hAnsi="等线" w:eastAsia="等线"/>
          <w:sz w:val="24"/>
          <w:szCs w:val="24"/>
        </w:rPr>
        <w:t xml:space="preserve">3.预算金额：</w:t>
      </w:r>
      <w:r>
        <w:rPr>
          <w:rFonts w:hint="eastAsia" w:ascii="等线" w:hAnsi="等线" w:eastAsia="等线"/>
          <w:sz w:val="24"/>
          <w:szCs w:val="24"/>
        </w:rPr>
        <w:t xml:space="preserve">294万元</w:t>
      </w:r>
      <w:r/>
    </w:p>
    <w:p>
      <w:pPr>
        <w:ind w:firstLine="480"/>
        <w:rPr>
          <w:rFonts w:ascii="等线" w:hAnsi="等线" w:eastAsia="等线"/>
          <w:sz w:val="24"/>
          <w:szCs w:val="24"/>
        </w:rPr>
      </w:pPr>
      <w:r>
        <w:rPr>
          <w:rFonts w:hint="eastAsia" w:ascii="等线" w:hAnsi="等线" w:eastAsia="等线"/>
          <w:sz w:val="24"/>
          <w:szCs w:val="24"/>
        </w:rPr>
        <w:t xml:space="preserve">4.最高限价：</w:t>
      </w:r>
      <w:r>
        <w:rPr>
          <w:rFonts w:hint="eastAsia" w:ascii="等线" w:hAnsi="等线" w:eastAsia="等线"/>
          <w:sz w:val="24"/>
          <w:szCs w:val="24"/>
        </w:rPr>
        <w:t xml:space="preserve">分包1：43万元（最高限价：商务车一25万元/辆、商务车二18万元/辆）</w:t>
      </w:r>
      <w:r/>
    </w:p>
    <w:p>
      <w:pPr>
        <w:ind w:firstLine="480"/>
        <w:rPr>
          <w:rFonts w:ascii="等线" w:hAnsi="等线" w:eastAsia="等线"/>
          <w:sz w:val="24"/>
          <w:szCs w:val="24"/>
        </w:rPr>
      </w:pPr>
      <w:r>
        <w:rPr>
          <w:rFonts w:hint="eastAsia" w:ascii="等线" w:hAnsi="等线" w:eastAsia="等线"/>
          <w:sz w:val="24"/>
          <w:szCs w:val="24"/>
        </w:rPr>
        <w:t xml:space="preserve">分包2：72万元（轿车最高限价：18万元/辆）</w:t>
      </w:r>
      <w:r/>
    </w:p>
    <w:p>
      <w:pPr>
        <w:ind w:firstLine="480"/>
        <w:rPr>
          <w:rFonts w:ascii="等线" w:hAnsi="等线" w:eastAsia="等线"/>
          <w:sz w:val="24"/>
          <w:szCs w:val="24"/>
        </w:rPr>
      </w:pPr>
      <w:r>
        <w:rPr>
          <w:rFonts w:hint="eastAsia" w:ascii="等线" w:hAnsi="等线" w:eastAsia="等线"/>
          <w:sz w:val="24"/>
          <w:szCs w:val="24"/>
        </w:rPr>
        <w:t xml:space="preserve">分包3：108万元（轿车最高限价：18万元/辆）</w:t>
      </w:r>
      <w:r/>
    </w:p>
    <w:p>
      <w:pPr>
        <w:ind w:firstLine="480"/>
        <w:rPr>
          <w:rFonts w:ascii="等线" w:hAnsi="等线" w:eastAsia="等线"/>
          <w:sz w:val="24"/>
          <w:szCs w:val="24"/>
        </w:rPr>
      </w:pPr>
      <w:r>
        <w:rPr>
          <w:rFonts w:hint="eastAsia" w:ascii="等线" w:hAnsi="等线" w:eastAsia="等线"/>
          <w:sz w:val="24"/>
          <w:szCs w:val="24"/>
        </w:rPr>
        <w:t xml:space="preserve">分包4：45万元（大型客车最高限价：45万元/辆）</w:t>
      </w:r>
      <w:r/>
    </w:p>
    <w:p>
      <w:pPr>
        <w:ind w:firstLine="480"/>
        <w:rPr>
          <w:rFonts w:ascii="等线" w:hAnsi="等线" w:eastAsia="等线"/>
          <w:sz w:val="24"/>
          <w:szCs w:val="24"/>
        </w:rPr>
      </w:pPr>
      <w:r>
        <w:rPr>
          <w:rFonts w:hint="eastAsia" w:ascii="等线" w:hAnsi="等线" w:eastAsia="等线"/>
          <w:sz w:val="24"/>
          <w:szCs w:val="24"/>
        </w:rPr>
        <w:t xml:space="preserve">分包5：26万元（轿车最高限价：13万元/辆）</w:t>
      </w:r>
      <w:r/>
    </w:p>
    <w:p>
      <w:pPr>
        <w:ind w:firstLine="480"/>
        <w:rPr>
          <w:rFonts w:ascii="等线" w:hAnsi="等线" w:eastAsia="等线"/>
          <w:sz w:val="24"/>
          <w:szCs w:val="24"/>
          <w:u w:val="single"/>
        </w:rPr>
      </w:pPr>
      <w:r>
        <w:rPr>
          <w:rFonts w:hint="eastAsia" w:ascii="等线" w:hAnsi="等线" w:eastAsia="等线"/>
          <w:sz w:val="24"/>
          <w:szCs w:val="24"/>
        </w:rPr>
        <w:t xml:space="preserve">5.采购需求（简介）：</w:t>
      </w:r>
      <w:r>
        <w:rPr>
          <w:rFonts w:hint="eastAsia" w:ascii="等线" w:hAnsi="等线" w:eastAsia="等线"/>
          <w:sz w:val="24"/>
          <w:szCs w:val="24"/>
        </w:rPr>
        <w:t xml:space="preserve">拟采购公务用车15辆</w:t>
      </w:r>
      <w:r>
        <w:rPr>
          <w:rFonts w:hint="eastAsia" w:ascii="等线" w:hAnsi="等线" w:eastAsia="等线" w:cs="宋体"/>
          <w:sz w:val="24"/>
          <w:szCs w:val="24"/>
        </w:rPr>
        <w:t xml:space="preserve">（详细内容见本招标文件第四章） </w:t>
      </w:r>
      <w:r/>
    </w:p>
    <w:p>
      <w:pPr>
        <w:ind w:firstLine="480"/>
        <w:rPr>
          <w:rFonts w:ascii="等线" w:hAnsi="等线" w:eastAsia="等线"/>
          <w:sz w:val="24"/>
          <w:szCs w:val="24"/>
          <w:u w:val="single"/>
        </w:rPr>
      </w:pPr>
      <w:r>
        <w:rPr>
          <w:rFonts w:hint="eastAsia" w:ascii="等线" w:hAnsi="等线" w:eastAsia="等线"/>
          <w:sz w:val="24"/>
          <w:szCs w:val="24"/>
        </w:rPr>
        <w:t xml:space="preserve">6.合同履行期限：</w:t>
      </w:r>
      <w:r>
        <w:rPr>
          <w:rFonts w:hint="eastAsia" w:ascii="等线" w:hAnsi="等线" w:eastAsia="等线"/>
          <w:sz w:val="24"/>
          <w:szCs w:val="24"/>
        </w:rPr>
        <w:t xml:space="preserve">合同签订后60天内交货</w:t>
      </w:r>
      <w:r/>
    </w:p>
    <w:p>
      <w:pPr>
        <w:pStyle w:val="90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ascii="等线" w:hAnsi="等线" w:eastAsia="等线"/>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w:t>
      </w:r>
      <w:r>
        <w:rPr>
          <w:rFonts w:hint="eastAsia" w:ascii="等线" w:hAnsi="等线" w:eastAsia="等线"/>
          <w:sz w:val="24"/>
          <w:szCs w:val="24"/>
        </w:rPr>
        <w:t xml:space="preserve">共和国政府采购法》第二十二条规定条件的信用记录。（投标文件中无需提供证明材料）。</w:t>
      </w:r>
      <w:r/>
    </w:p>
    <w:p>
      <w:pPr>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hint="eastAsia" w:ascii="等线" w:hAnsi="等线" w:eastAsia="等线"/>
          <w:sz w:val="24"/>
          <w:szCs w:val="24"/>
        </w:rPr>
        <w:t xml:space="preserve">。</w:t>
      </w:r>
      <w:r/>
    </w:p>
    <w:p>
      <w:pPr>
        <w:ind w:firstLine="480"/>
        <w:rPr>
          <w:rFonts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ascii="等线" w:hAnsi="等线" w:eastAsia="等线" w:cs="宋体"/>
          <w:sz w:val="24"/>
          <w:szCs w:val="24"/>
        </w:rPr>
      </w:pPr>
      <w:r>
        <w:rPr>
          <w:rFonts w:hint="eastAsia" w:ascii="等线" w:hAnsi="等线" w:eastAsia="等线"/>
          <w:sz w:val="24"/>
          <w:szCs w:val="24"/>
        </w:rPr>
        <w:t xml:space="preserve">无</w:t>
      </w:r>
      <w:r/>
    </w:p>
    <w:p>
      <w:pPr>
        <w:pStyle w:val="90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ascii="等线" w:hAnsi="等线" w:eastAsia="等线" w:cs="宋体"/>
          <w:sz w:val="24"/>
          <w:szCs w:val="24"/>
        </w:rPr>
      </w:pPr>
      <w:r/>
      <w:bookmarkStart w:id="23" w:name="_Toc28359082"/>
      <w:r/>
      <w:bookmarkStart w:id="24" w:name="_Toc38985266"/>
      <w:r/>
      <w:bookmarkStart w:id="25" w:name="_Toc35393793"/>
      <w:r/>
      <w:bookmarkStart w:id="26" w:name="_Toc35393624"/>
      <w:r/>
      <w:bookmarkStart w:id="27" w:name="_Toc28359005"/>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903"/>
        <w:ind w:firstLine="498"/>
        <w:spacing w:before="156" w:after="156" w:line="360" w:lineRule="auto"/>
      </w:pPr>
      <w:r/>
      <w:bookmarkStart w:id="28" w:name="_Toc28359084"/>
      <w:r/>
      <w:bookmarkStart w:id="29" w:name="_Toc35393794"/>
      <w:r/>
      <w:bookmarkStart w:id="30" w:name="_Toc28359007"/>
      <w:r/>
      <w:bookmarkStart w:id="31" w:name="_Toc38985267"/>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ascii="等线" w:hAnsi="等线" w:eastAsia="等线" w:cs="宋体"/>
          <w:sz w:val="24"/>
          <w:szCs w:val="24"/>
        </w:rPr>
      </w:pPr>
      <w:r>
        <w:rPr>
          <w:rFonts w:hint="eastAsia" w:ascii="等线" w:hAnsi="等线" w:eastAsia="等线" w:cs="宋体"/>
          <w:sz w:val="24"/>
          <w:szCs w:val="24"/>
        </w:rPr>
        <w:t xml:space="preserve">2.地点：苏</w:t>
      </w:r>
      <w:r>
        <w:rPr>
          <w:rFonts w:hint="eastAsia" w:ascii="等线" w:hAnsi="等线" w:eastAsia="等线" w:cs="宋体"/>
          <w:sz w:val="24"/>
          <w:szCs w:val="24"/>
        </w:rPr>
        <w:t xml:space="preserve">采云</w:t>
      </w:r>
      <w:r>
        <w:rPr>
          <w:rFonts w:hint="eastAsia" w:ascii="等线" w:hAnsi="等线" w:eastAsia="等线" w:cs="宋体"/>
          <w:sz w:val="24"/>
          <w:szCs w:val="24"/>
        </w:rPr>
        <w:t xml:space="preserve">政府采购一体化平台</w:t>
      </w:r>
      <w:r/>
    </w:p>
    <w:p>
      <w:pPr>
        <w:pStyle w:val="903"/>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903"/>
        <w:ind w:firstLine="498"/>
        <w:spacing w:before="156" w:after="156" w:line="360" w:lineRule="auto"/>
      </w:pPr>
      <w:r>
        <w:rPr>
          <w:rFonts w:hint="eastAsia"/>
        </w:rPr>
        <w:t xml:space="preserve">六、其他补充事宜</w:t>
      </w:r>
      <w:bookmarkEnd w:id="33"/>
      <w:r/>
      <w:bookmarkEnd w:id="34"/>
      <w:r/>
      <w:bookmarkEnd w:id="35"/>
      <w:r/>
      <w:r/>
    </w:p>
    <w:p>
      <w:pPr>
        <w:ind w:firstLine="480"/>
        <w:rPr>
          <w:rFonts w:ascii="等线" w:hAnsi="等线" w:eastAsia="等线" w:cs="宋体"/>
          <w:sz w:val="24"/>
          <w:szCs w:val="24"/>
        </w:rPr>
      </w:pPr>
      <w:r>
        <w:rPr>
          <w:rFonts w:hint="eastAsia" w:ascii="等线" w:hAnsi="等线" w:eastAsia="等线" w:cs="宋体"/>
          <w:sz w:val="24"/>
          <w:szCs w:val="24"/>
        </w:rPr>
        <w:t xml:space="preserve">无</w:t>
      </w:r>
      <w:r/>
    </w:p>
    <w:p>
      <w:pPr>
        <w:pStyle w:val="903"/>
        <w:ind w:firstLine="498"/>
        <w:spacing w:before="156" w:after="156" w:line="360" w:lineRule="auto"/>
      </w:pPr>
      <w:r/>
      <w:bookmarkStart w:id="36" w:name="_Toc28359008"/>
      <w:r/>
      <w:bookmarkStart w:id="37" w:name="_Toc38985269"/>
      <w:r/>
      <w:bookmarkStart w:id="38" w:name="_Toc35393627"/>
      <w:r/>
      <w:bookmarkStart w:id="39" w:name="_Toc28359085"/>
      <w:r/>
      <w:bookmarkStart w:id="40" w:name="_Toc35393796"/>
      <w:r>
        <w:rPr>
          <w:rFonts w:hint="eastAsia"/>
        </w:rPr>
        <w:t xml:space="preserve">七、本次招标联系方式</w:t>
      </w:r>
      <w:bookmarkEnd w:id="36"/>
      <w:r/>
      <w:bookmarkEnd w:id="37"/>
      <w:r/>
      <w:bookmarkEnd w:id="38"/>
      <w:r/>
      <w:bookmarkEnd w:id="39"/>
      <w:r/>
      <w:bookmarkEnd w:id="40"/>
      <w:r/>
      <w:r/>
    </w:p>
    <w:p>
      <w:pPr>
        <w:ind w:firstLine="720"/>
        <w:spacing w:line="360" w:lineRule="auto"/>
        <w:rPr>
          <w:rFonts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称：常州市机关事务管理局</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地址：常州市龙城大道1280号</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联系人：卿先生 </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联系方式：0519-85685891</w:t>
      </w:r>
      <w:r/>
    </w:p>
    <w:p>
      <w:pPr>
        <w:ind w:firstLine="720"/>
        <w:spacing w:line="360" w:lineRule="auto"/>
        <w:rPr>
          <w:rFonts w:ascii="等线" w:hAnsi="等线" w:eastAsia="等线" w:cs="宋体"/>
          <w:sz w:val="24"/>
          <w:szCs w:val="24"/>
        </w:rPr>
      </w:pPr>
      <w:r/>
      <w:bookmarkStart w:id="43" w:name="_Toc28359086"/>
      <w:r/>
      <w:bookmarkStart w:id="44" w:name="_Toc28359009"/>
      <w:r>
        <w:rPr>
          <w:rFonts w:hint="eastAsia" w:ascii="等线" w:hAnsi="等线" w:eastAsia="等线" w:cs="宋体"/>
          <w:sz w:val="24"/>
          <w:szCs w:val="24"/>
        </w:rPr>
        <w:t xml:space="preserve">2.常州市政府采购中心信息</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开标评审相关联系人：</w:t>
      </w:r>
      <w:r>
        <w:rPr>
          <w:rFonts w:hint="eastAsia" w:ascii="等线" w:hAnsi="等线" w:eastAsia="等线" w:cs="宋体"/>
          <w:sz w:val="24"/>
          <w:szCs w:val="24"/>
        </w:rPr>
        <w:t xml:space="preserve">施先生</w:t>
      </w:r>
      <w:r/>
    </w:p>
    <w:p>
      <w:pPr>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90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w:t>
      </w:r>
      <w:r>
        <w:rPr>
          <w:rFonts w:hint="eastAsia" w:ascii="等线" w:hAnsi="等线" w:eastAsia="等线"/>
          <w:bCs/>
          <w:sz w:val="24"/>
          <w:szCs w:val="24"/>
        </w:rPr>
        <w:t xml:space="preserve">苏财购〔2023〕</w:t>
      </w:r>
      <w:r>
        <w:rPr>
          <w:rFonts w:hint="eastAsia" w:ascii="等线" w:hAnsi="等线" w:eastAsia="等线"/>
          <w:bCs/>
          <w:sz w:val="24"/>
          <w:szCs w:val="24"/>
        </w:rPr>
        <w:t xml:space="preserve">101号），</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”政府采购交易系统（以下简称苏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pStyle w:val="901"/>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20614213"/>
      <w:r/>
      <w:bookmarkStart w:id="48" w:name="_Toc513029202"/>
      <w:r/>
      <w:bookmarkStart w:id="49" w:name="_Toc16938518"/>
      <w:r/>
      <w:bookmarkStart w:id="50" w:name="_Toc20823274"/>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903"/>
        <w:ind w:firstLine="498"/>
        <w:spacing w:before="156" w:after="156" w:line="360" w:lineRule="auto"/>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
    </w:p>
    <w:p>
      <w:pPr>
        <w:pStyle w:val="904"/>
        <w:ind w:firstLine="420"/>
        <w:spacing w:before="0" w:after="0" w:line="240" w:lineRule="auto"/>
        <w:rPr>
          <w:b w:val="0"/>
          <w:bCs w:val="0"/>
        </w:rPr>
      </w:pPr>
      <w:r/>
      <w:bookmarkStart w:id="55" w:name="_Hlt16619475"/>
      <w:r/>
      <w:bookmarkStart w:id="56" w:name="_Toc458694821"/>
      <w:r/>
      <w:bookmarkStart w:id="57" w:name="_Toc513029204"/>
      <w:r/>
      <w:bookmarkStart w:id="58" w:name="_Toc20823276"/>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04"/>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04"/>
        <w:ind w:firstLine="420"/>
        <w:spacing w:before="0" w:after="0" w:line="240" w:lineRule="auto"/>
        <w:rPr>
          <w:b w:val="0"/>
          <w:bCs w:val="0"/>
        </w:rPr>
      </w:pPr>
      <w:r/>
      <w:bookmarkStart w:id="63" w:name="_Toc16938522"/>
      <w:r/>
      <w:bookmarkStart w:id="64" w:name="_Toc20823278"/>
      <w:r/>
      <w:bookmarkStart w:id="65" w:name="_Toc513029206"/>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04"/>
        <w:ind w:firstLine="420"/>
        <w:spacing w:before="0" w:after="0" w:line="240" w:lineRule="auto"/>
        <w:rPr>
          <w:b w:val="0"/>
          <w:bCs w:val="0"/>
        </w:rPr>
      </w:pPr>
      <w:r/>
      <w:bookmarkStart w:id="66" w:name="_Toc513029207"/>
      <w:r/>
      <w:bookmarkStart w:id="67" w:name="_Toc20823279"/>
      <w:r/>
      <w:bookmarkStart w:id="68" w:name="_Toc462564067"/>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04"/>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3"/>
        <w:ind w:firstLine="321"/>
        <w:spacing w:before="156" w:after="156" w:line="360" w:lineRule="auto"/>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
    </w:p>
    <w:p>
      <w:pPr>
        <w:pStyle w:val="904"/>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4"/>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04"/>
        <w:ind w:firstLine="560"/>
        <w:spacing w:before="0" w:after="0" w:line="240" w:lineRule="auto"/>
        <w:rPr>
          <w:b w:val="0"/>
          <w:bCs w:val="0"/>
        </w:rPr>
      </w:pPr>
      <w:r/>
      <w:bookmarkStart w:id="81" w:name="_Toc16938528"/>
      <w:r/>
      <w:bookmarkStart w:id="82" w:name="_Toc462564071"/>
      <w:r/>
      <w:bookmarkStart w:id="83" w:name="_Toc513029212"/>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3"/>
        <w:ind w:firstLine="482"/>
        <w:spacing w:before="156" w:after="156" w:line="360" w:lineRule="auto"/>
      </w:pPr>
      <w:r/>
      <w:bookmarkStart w:id="85" w:name="_Toc462564072"/>
      <w:r/>
      <w:bookmarkStart w:id="86" w:name="_Toc16938529"/>
      <w:r/>
      <w:bookmarkStart w:id="87" w:name="_Toc120614216"/>
      <w:r/>
      <w:bookmarkStart w:id="88" w:name="_Toc513029213"/>
      <w:r/>
      <w:bookmarkStart w:id="89" w:name="_Toc20823285"/>
      <w:r>
        <w:rPr>
          <w:rFonts w:hint="eastAsia"/>
        </w:rPr>
        <w:t xml:space="preserve">三、投标文件的编制</w:t>
      </w:r>
      <w:bookmarkEnd w:id="85"/>
      <w:r/>
      <w:bookmarkEnd w:id="86"/>
      <w:r/>
      <w:bookmarkEnd w:id="87"/>
      <w:r/>
      <w:bookmarkEnd w:id="88"/>
      <w:r/>
      <w:bookmarkEnd w:id="89"/>
      <w:r/>
      <w:r/>
    </w:p>
    <w:p>
      <w:pPr>
        <w:pStyle w:val="904"/>
        <w:ind w:firstLine="560"/>
        <w:spacing w:before="0" w:after="0" w:line="240" w:lineRule="auto"/>
        <w:rPr>
          <w:bCs w:val="0"/>
        </w:rPr>
      </w:pPr>
      <w:r/>
      <w:bookmarkStart w:id="90" w:name="_Toc16938530"/>
      <w:r/>
      <w:bookmarkStart w:id="91" w:name="_Toc20823286"/>
      <w:r/>
      <w:bookmarkStart w:id="92" w:name="_Toc462564073"/>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4"/>
        <w:ind w:firstLine="420"/>
        <w:spacing w:before="0" w:after="0" w:line="240" w:lineRule="auto"/>
        <w:rPr>
          <w:b w:val="0"/>
          <w:bCs w:val="0"/>
        </w:rPr>
      </w:pPr>
      <w:r/>
      <w:bookmarkStart w:id="94" w:name="_Toc462564074"/>
      <w:r/>
      <w:bookmarkStart w:id="95" w:name="_Toc16938531"/>
      <w:r/>
      <w:bookmarkStart w:id="96" w:name="_Toc513029215"/>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4"/>
        <w:ind w:firstLine="420"/>
        <w:spacing w:before="0" w:after="0" w:line="240" w:lineRule="auto"/>
        <w:rPr>
          <w:b w:val="0"/>
          <w:bCs w:val="0"/>
        </w:rPr>
      </w:pPr>
      <w:r/>
      <w:bookmarkStart w:id="98" w:name="_Hlt26670360"/>
      <w:r/>
      <w:bookmarkStart w:id="99" w:name="_Hlt26954838"/>
      <w:r/>
      <w:bookmarkStart w:id="100" w:name="_Hlt26668975"/>
      <w:r/>
      <w:bookmarkStart w:id="101" w:name="_Toc513029219"/>
      <w:r/>
      <w:bookmarkStart w:id="102" w:name="_Toc14577357"/>
      <w:r/>
      <w:bookmarkStart w:id="103" w:name="_Toc49090509"/>
      <w:r/>
      <w:bookmarkStart w:id="104" w:name="_Toc49090507"/>
      <w:r/>
      <w:bookmarkStart w:id="105" w:name="_Toc14577354"/>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04"/>
        <w:ind w:firstLine="420"/>
        <w:spacing w:before="0" w:after="0" w:line="240" w:lineRule="auto"/>
        <w:rPr>
          <w:b w:val="0"/>
          <w:bCs w:val="0"/>
        </w:rPr>
      </w:pPr>
      <w:r/>
      <w:bookmarkStart w:id="112" w:name="_Hlt26954846"/>
      <w:r/>
      <w:bookmarkStart w:id="113" w:name="_Hlt26670425"/>
      <w:r/>
      <w:bookmarkStart w:id="114" w:name="_Hlt26670482"/>
      <w:r/>
      <w:bookmarkStart w:id="115" w:name="_Hlt26954731"/>
      <w:r/>
      <w:bookmarkStart w:id="116" w:name="_Hlt26954844"/>
      <w:r/>
      <w:bookmarkStart w:id="117" w:name="_Hlt26670486"/>
      <w:r/>
      <w:bookmarkStart w:id="118" w:name="_Hlt26954848"/>
      <w:r/>
      <w:bookmarkStart w:id="119" w:name="_Hlt26668983"/>
      <w:r/>
      <w:bookmarkStart w:id="120" w:name="_Hlt26670403"/>
      <w:r/>
      <w:bookmarkStart w:id="121" w:name="_Hlt2695484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04"/>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04"/>
        <w:ind w:firstLine="420"/>
        <w:spacing w:before="0" w:after="0" w:line="240" w:lineRule="auto"/>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3"/>
        <w:ind w:firstLine="482"/>
        <w:spacing w:before="156" w:after="156" w:line="360" w:lineRule="auto"/>
      </w:pPr>
      <w:r/>
      <w:bookmarkStart w:id="129" w:name="_Hlt26954852"/>
      <w:r/>
      <w:bookmarkStart w:id="130" w:name="_Hlt26954739"/>
      <w:r/>
      <w:bookmarkStart w:id="131" w:name="_Toc513029224"/>
      <w:r/>
      <w:bookmarkStart w:id="132" w:name="_Toc20823296"/>
      <w:r/>
      <w:bookmarkStart w:id="133" w:name="_Toc120614217"/>
      <w:r/>
      <w:bookmarkStart w:id="134" w:name="_Toc16938540"/>
      <w:r/>
      <w:bookmarkEnd w:id="129"/>
      <w:r/>
      <w:bookmarkEnd w:id="130"/>
      <w:r>
        <w:rPr>
          <w:rFonts w:hint="eastAsia"/>
        </w:rPr>
        <w:t xml:space="preserve">四、投标文件的递交</w:t>
      </w:r>
      <w:bookmarkEnd w:id="131"/>
      <w:r/>
      <w:bookmarkEnd w:id="132"/>
      <w:r/>
      <w:bookmarkEnd w:id="133"/>
      <w:r/>
      <w:bookmarkEnd w:id="134"/>
      <w:r/>
      <w:r/>
    </w:p>
    <w:p>
      <w:pPr>
        <w:pStyle w:val="904"/>
        <w:ind w:firstLine="560"/>
        <w:spacing w:before="0" w:after="0" w:line="240" w:lineRule="auto"/>
        <w:rPr>
          <w:rFonts w:ascii="黑体"/>
          <w:b w:val="0"/>
          <w:bCs w:val="0"/>
        </w:rPr>
      </w:pPr>
      <w:r/>
      <w:bookmarkStart w:id="135" w:name="_Toc20823297"/>
      <w:r/>
      <w:bookmarkStart w:id="136" w:name="_Toc462564084"/>
      <w:r/>
      <w:bookmarkStart w:id="137" w:name="_Toc513029225"/>
      <w:r/>
      <w:bookmarkStart w:id="138"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2"/>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513029226"/>
      <w:r/>
      <w:bookmarkStart w:id="141" w:name="_Toc20823298"/>
      <w:r/>
      <w:r/>
    </w:p>
    <w:p>
      <w:pPr>
        <w:pStyle w:val="904"/>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4"/>
        <w:ind w:firstLine="420"/>
        <w:spacing w:before="0" w:after="0" w:line="240" w:lineRule="auto"/>
        <w:rPr>
          <w:b w:val="0"/>
          <w:bCs w:val="0"/>
        </w:rPr>
      </w:pPr>
      <w:r/>
      <w:bookmarkStart w:id="142" w:name="_Toc20823299"/>
      <w:r/>
      <w:bookmarkStart w:id="143" w:name="_Toc16938543"/>
      <w:r/>
      <w:bookmarkStart w:id="144" w:name="_Toc513029227"/>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4"/>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3"/>
        <w:ind w:firstLine="482"/>
        <w:spacing w:before="156" w:after="156" w:line="360" w:lineRule="auto"/>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904"/>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04"/>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04"/>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04"/>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4"/>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rPr>
        <w:t xml:space="preserve">视同联合体存在不良信用记录</w:t>
      </w:r>
      <w:r>
        <w:rPr>
          <w:rFonts w:hint="eastAsia" w:ascii="宋体" w:hAnsi="宋体"/>
          <w:bCs/>
          <w:sz w:val="24"/>
        </w:rPr>
        <w:t xml:space="preserve">。</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hint="eastAsia" w:ascii="宋体" w:hAnsi="宋体"/>
          <w:bCs/>
          <w:sz w:val="24"/>
        </w:rPr>
        <w:t xml:space="preserve">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w:t>
      </w:r>
      <w:r>
        <w:rPr>
          <w:rFonts w:hint="eastAsia" w:ascii="宋体" w:hAnsi="宋体"/>
          <w:bCs/>
          <w:sz w:val="24"/>
        </w:rPr>
        <w:t xml:space="preserve">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3"/>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04"/>
        <w:ind w:firstLine="600"/>
        <w:spacing w:before="0" w:after="0" w:line="240" w:lineRule="auto"/>
        <w:rPr>
          <w:rFonts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0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3"/>
        <w:spacing w:before="156" w:after="156" w:line="360" w:lineRule="auto"/>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904"/>
        <w:ind w:firstLine="600"/>
        <w:spacing w:before="0" w:after="0" w:line="240" w:lineRule="auto"/>
        <w:rPr>
          <w:rFonts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4"/>
        <w:ind w:firstLine="600"/>
        <w:spacing w:before="0" w:after="0" w:line="240" w:lineRule="auto"/>
        <w:rPr>
          <w:rFonts w:ascii="黑体" w:hAnsi="宋体" w:cs="Times New Roman"/>
          <w:b w:val="0"/>
          <w:sz w:val="30"/>
          <w:szCs w:val="30"/>
        </w:rPr>
      </w:pPr>
      <w:r/>
      <w:bookmarkStart w:id="182" w:name="_Toc16938558"/>
      <w:r/>
      <w:bookmarkStart w:id="183" w:name="_Toc513029242"/>
      <w:r/>
      <w:bookmarkStart w:id="184" w:name="_Toc120614221"/>
      <w:r/>
      <w:bookmarkStart w:id="185" w:name="_Toc20823314"/>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w:t>
      </w:r>
      <w:r>
        <w:rPr>
          <w:rFonts w:ascii="宋体" w:hAnsi="宋体"/>
          <w:sz w:val="24"/>
          <w:szCs w:val="24"/>
        </w:rPr>
        <w:t xml:space="preserve">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w:t>
      </w:r>
      <w:r>
        <w:rPr>
          <w:rFonts w:ascii="宋体" w:hAnsi="宋体"/>
          <w:sz w:val="24"/>
          <w:szCs w:val="24"/>
        </w:rPr>
        <w:t xml:space="preserve">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w:t>
      </w:r>
      <w:r>
        <w:rPr>
          <w:rFonts w:ascii="宋体" w:hAnsi="宋体"/>
          <w:sz w:val="24"/>
          <w:szCs w:val="24"/>
        </w:rPr>
        <w:t xml:space="preserve">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3"/>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1"/>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918"/>
        <w:jc w:val="center"/>
        <w:rPr>
          <w:rFonts w:ascii="宋体" w:hAnsi="宋体" w:cs="宋体"/>
          <w:b/>
          <w:bCs/>
          <w:spacing w:val="-20"/>
          <w:sz w:val="48"/>
          <w:szCs w:val="48"/>
        </w:rPr>
      </w:pPr>
      <w:r>
        <w:rPr>
          <w:rFonts w:ascii="宋体" w:hAnsi="宋体" w:cs="宋体"/>
          <w:b/>
          <w:bCs/>
          <w:spacing w:val="-20"/>
          <w:sz w:val="48"/>
          <w:szCs w:val="48"/>
        </w:rPr>
      </w:r>
      <w:r/>
    </w:p>
    <w:p>
      <w:pPr>
        <w:pStyle w:val="918"/>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6"/>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902"/>
        <w:spacing w:line="400" w:lineRule="exact"/>
        <w:tabs>
          <w:tab w:val="left" w:pos="360" w:leader="none"/>
        </w:tabs>
        <w:rPr>
          <w:rFonts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ascii="宋体" w:hAnsi="宋体"/>
        </w:rPr>
      </w:r>
      <w:r/>
    </w:p>
    <w:p>
      <w:pPr>
        <w:pStyle w:val="919"/>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ascii="宋体" w:hAnsi="宋体"/>
          <w:b/>
        </w:rPr>
      </w:pPr>
      <w:r>
        <w:rPr>
          <w:rFonts w:hint="eastAsia" w:ascii="宋体" w:hAnsi="宋体"/>
          <w:b/>
        </w:rPr>
        <w:t xml:space="preserve">项目信息</w:t>
      </w:r>
      <w:r/>
    </w:p>
    <w:p>
      <w:pPr>
        <w:pStyle w:val="919"/>
        <w:numPr>
          <w:ilvl w:val="0"/>
          <w:numId w:val="5"/>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19"/>
        <w:numPr>
          <w:ilvl w:val="255"/>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19"/>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1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4"/>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4"/>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1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4"/>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4"/>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4"/>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4"/>
        <w:numPr>
          <w:ilvl w:val="255"/>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4"/>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4"/>
        <w:numPr>
          <w:ilvl w:val="255"/>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1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14"/>
        <w:numPr>
          <w:ilvl w:val="255"/>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1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14"/>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81"/>
        <w:spacing w:line="400" w:lineRule="exact"/>
        <w:rPr>
          <w:rFonts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rPr>
      </w:pPr>
      <w:r>
        <w:rPr>
          <w:rFonts w:ascii="Segoe UI Symbol" w:hAnsi="Segoe UI Symbol" w:cs="Segoe UI Symbol"/>
        </w:rPr>
        <w:t xml:space="preserve">☑</w:t>
      </w:r>
      <w:r>
        <w:rPr>
          <w:rFonts w:hint="eastAsia" w:ascii="宋体" w:hAnsi="宋体"/>
        </w:rPr>
        <w:t xml:space="preserve">全额付款：</w:t>
      </w:r>
      <w:r>
        <w:rPr>
          <w:rFonts w:hint="eastAsia" w:ascii="宋体" w:hAnsi="宋体"/>
          <w:u w:val="single"/>
        </w:rPr>
        <w:t xml:space="preserve"> </w:t>
      </w:r>
      <w:r>
        <w:rPr>
          <w:rFonts w:hint="eastAsia" w:ascii="宋体" w:hAnsi="宋体"/>
          <w:u w:val="single"/>
        </w:rPr>
        <w:t xml:space="preserve">合同签订有效期内车辆交付后，采购人组织车辆验收,验收合格后,收到正式发票10个工作日内支付。</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Segoe UI Symbol" w:hAnsi="Segoe UI Symbol" w:cs="Segoe UI Symbol"/>
          <w:b/>
          <w:bCs/>
        </w:rPr>
        <w:t xml:space="preserve">☑</w:t>
      </w:r>
      <w:r>
        <w:rPr>
          <w:rFonts w:hint="eastAsia" w:ascii="宋体" w:hAnsi="宋体" w:cs="宋体"/>
        </w:rPr>
        <w:t xml:space="preserve">否</w:t>
      </w:r>
      <w:r/>
    </w:p>
    <w:p>
      <w:pPr>
        <w:pStyle w:val="1014"/>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1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hint="eastAsia"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hint="eastAsia"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w:t>
      </w:r>
      <w:r>
        <w:rPr>
          <w:rFonts w:hint="eastAsia" w:ascii="宋体" w:hAnsi="宋体" w:cs="宋体"/>
          <w:u w:val="single"/>
        </w:rPr>
        <w:t xml:space="preserve">  </w:t>
      </w:r>
      <w:r/>
    </w:p>
    <w:p>
      <w:pPr>
        <w:numPr>
          <w:ilvl w:val="0"/>
          <w:numId w:val="4"/>
        </w:numPr>
        <w:ind w:firstLine="422"/>
        <w:spacing w:line="400" w:lineRule="exact"/>
        <w:rPr>
          <w:rFonts w:ascii="宋体" w:hAnsi="宋体"/>
          <w:b/>
        </w:rPr>
      </w:pPr>
      <w:r>
        <w:rPr>
          <w:rFonts w:hint="eastAsia" w:ascii="宋体" w:hAnsi="宋体"/>
          <w:b/>
        </w:rPr>
        <w:t xml:space="preserve">合同验收</w:t>
      </w:r>
      <w:r/>
    </w:p>
    <w:p>
      <w:pPr>
        <w:numPr>
          <w:ilvl w:val="0"/>
          <w:numId w:val="6"/>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1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1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ascii="宋体" w:hAnsi="宋体"/>
        </w:rPr>
      </w:pPr>
      <w:r>
        <w:rPr>
          <w:rFonts w:hint="eastAsia" w:ascii="宋体" w:hAnsi="宋体"/>
        </w:rPr>
        <w:t xml:space="preserve">附件：具体标的及其技术要求和商务要求、联合协议、分包意向协议等。</w:t>
      </w:r>
      <w:r/>
    </w:p>
    <w:p>
      <w:pPr>
        <w:pStyle w:val="981"/>
        <w:spacing w:line="400" w:lineRule="exact"/>
        <w:rPr>
          <w:rFonts w:ascii="宋体" w:hAnsi="宋体"/>
          <w:lang w:eastAsia="zh-CN"/>
        </w:rPr>
      </w:pPr>
      <w:r>
        <w:rPr>
          <w:rFonts w:ascii="宋体" w:hAnsi="宋体"/>
          <w:lang w:eastAsia="zh-CN"/>
        </w:rPr>
      </w:r>
      <w:r/>
    </w:p>
    <w:p>
      <w:pPr>
        <w:pStyle w:val="981"/>
        <w:rPr>
          <w:rFonts w:ascii="宋体" w:hAnsi="宋体"/>
          <w:lang w:eastAsia="zh-CN"/>
        </w:rPr>
      </w:pPr>
      <w:r>
        <w:rPr>
          <w:rFonts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宋体" w:hAnsi="宋体"/>
              </w:rPr>
            </w:pPr>
            <w:r>
              <w:rPr>
                <w:rFonts w:ascii="宋体" w:hAnsi="宋体"/>
              </w:rPr>
              <w:t xml:space="preserve">法定代表人</w:t>
            </w:r>
            <w:r/>
          </w:p>
          <w:p>
            <w:pPr>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法定代表人</w:t>
            </w:r>
            <w:r/>
          </w:p>
          <w:p>
            <w:pPr>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rPr>
            </w:pPr>
            <w:r>
              <w:rPr>
                <w:rFonts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19"/>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02"/>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1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1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14"/>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2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18"/>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4"/>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14"/>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14"/>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18"/>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1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4"/>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ascii="黑体" w:hAnsi="华文中宋" w:eastAsia="黑体"/>
          <w:sz w:val="28"/>
          <w:szCs w:val="28"/>
        </w:rPr>
      </w:pPr>
      <w:r>
        <w:rPr>
          <w:rFonts w:hint="eastAsia" w:ascii="宋体" w:hAnsi="宋体"/>
          <w:sz w:val="28"/>
          <w:szCs w:val="28"/>
        </w:rPr>
        <w:br w:type="page" w:clear="all"/>
      </w:r>
      <w:r/>
    </w:p>
    <w:p>
      <w:pPr>
        <w:pStyle w:val="902"/>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1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ind w:firstLine="640"/>
        <w:spacing w:line="500" w:lineRule="exact"/>
        <w:rPr>
          <w:rFonts w:ascii="宋体" w:hAnsi="宋体"/>
          <w:bCs/>
          <w:sz w:val="32"/>
          <w:szCs w:val="32"/>
        </w:rPr>
      </w:pPr>
      <w:r>
        <w:rPr>
          <w:rFonts w:ascii="宋体" w:hAnsi="宋体"/>
          <w:bCs/>
          <w:sz w:val="32"/>
          <w:szCs w:val="32"/>
        </w:rPr>
      </w:r>
      <w:r/>
    </w:p>
    <w:p>
      <w:pPr>
        <w:pStyle w:val="901"/>
        <w:rPr>
          <w:rFonts w:ascii="黑体" w:eastAsia="黑体"/>
          <w:sz w:val="44"/>
        </w:rPr>
      </w:pPr>
      <w:r/>
      <w:bookmarkStart w:id="195" w:name="_Toc175731539"/>
      <w:r/>
      <w:bookmarkStart w:id="196" w:name="_Toc26554093"/>
      <w:r/>
      <w:bookmarkStart w:id="197" w:name="_Toc120614281"/>
      <w:r/>
      <w:bookmarkStart w:id="198" w:name="_Toc49090575"/>
      <w:r/>
      <w:bookmarkStart w:id="199" w:name="_Toc479757211"/>
      <w:r/>
      <w:bookmarkStart w:id="200" w:name="_Toc462564139"/>
      <w:r/>
      <w:bookmarkEnd w:id="188"/>
      <w:r/>
      <w:bookmarkEnd w:id="189"/>
      <w:r/>
      <w:bookmarkEnd w:id="190"/>
      <w:r>
        <w:rPr>
          <w:rFonts w:hint="eastAsia" w:ascii="黑体" w:eastAsia="黑体"/>
          <w:sz w:val="44"/>
        </w:rPr>
        <w:t xml:space="preserve">第四章 </w:t>
      </w:r>
      <w:r>
        <w:rPr>
          <w:rFonts w:hint="eastAsia" w:ascii="黑体" w:eastAsia="黑体"/>
          <w:sz w:val="44"/>
        </w:rPr>
        <w:t xml:space="preserve"> </w:t>
      </w:r>
      <w:r>
        <w:rPr>
          <w:rFonts w:hint="eastAsia" w:ascii="黑体" w:eastAsia="黑体"/>
          <w:sz w:val="44"/>
        </w:rPr>
        <w:t xml:space="preserve">采购需求</w:t>
      </w:r>
      <w:bookmarkEnd w:id="195"/>
      <w:r/>
      <w:r/>
    </w:p>
    <w:p>
      <w:pPr>
        <w:pStyle w:val="992"/>
        <w:numPr>
          <w:ilvl w:val="0"/>
          <w:numId w:val="11"/>
        </w:numPr>
        <w:contextualSpacing w:val="0"/>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rFonts w:hint="eastAsia"/>
          <w:sz w:val="24"/>
        </w:rPr>
        <w:t xml:space="preserve">2025</w:t>
      </w:r>
      <w:r>
        <w:rPr>
          <w:rFonts w:hint="eastAsia"/>
          <w:sz w:val="24"/>
        </w:rPr>
        <w:t xml:space="preserve">年度常州市机关事务管理局公务用车车辆采购项目</w:t>
      </w:r>
      <w:r/>
    </w:p>
    <w:p>
      <w:pPr>
        <w:rPr>
          <w:rFonts w:ascii="宋体" w:hAnsi="宋体"/>
          <w:sz w:val="24"/>
        </w:rPr>
      </w:pPr>
      <w:r>
        <w:rPr>
          <w:rFonts w:hint="eastAsia" w:ascii="宋体" w:hAnsi="宋体"/>
          <w:sz w:val="24"/>
        </w:rPr>
        <w:t xml:space="preserve">2.预算金额：29</w:t>
      </w:r>
      <w:r>
        <w:rPr>
          <w:rFonts w:hint="eastAsia" w:ascii="宋体" w:hAnsi="宋体"/>
          <w:sz w:val="24"/>
        </w:rPr>
        <w:t xml:space="preserve">4</w:t>
      </w:r>
      <w:r>
        <w:rPr>
          <w:rFonts w:hint="eastAsia" w:ascii="宋体" w:hAnsi="宋体"/>
          <w:sz w:val="24"/>
        </w:rPr>
        <w:t xml:space="preserve">万元</w:t>
      </w:r>
      <w:r/>
    </w:p>
    <w:p>
      <w:pPr>
        <w:rPr>
          <w:rFonts w:ascii="宋体" w:hAnsi="宋体"/>
          <w:sz w:val="24"/>
        </w:rPr>
      </w:pPr>
      <w:r>
        <w:rPr>
          <w:rFonts w:hint="eastAsia" w:ascii="宋体" w:hAnsi="宋体"/>
          <w:sz w:val="24"/>
        </w:rPr>
        <w:t xml:space="preserve">3.最高限价：</w:t>
      </w:r>
      <w:r/>
    </w:p>
    <w:p>
      <w:pPr>
        <w:rPr>
          <w:rFonts w:ascii="宋体" w:hAnsi="宋体"/>
          <w:sz w:val="24"/>
        </w:rPr>
      </w:pPr>
      <w:r>
        <w:rPr>
          <w:rFonts w:hint="eastAsia" w:ascii="宋体" w:hAnsi="宋体"/>
          <w:sz w:val="24"/>
        </w:rPr>
        <w:t xml:space="preserve">分包1：43万元（最高限价：</w:t>
      </w:r>
      <w:r>
        <w:rPr>
          <w:rFonts w:hint="eastAsia"/>
          <w:sz w:val="24"/>
        </w:rPr>
        <w:t xml:space="preserve">商务车一</w:t>
      </w:r>
      <w:r>
        <w:rPr>
          <w:rFonts w:hint="eastAsia"/>
          <w:sz w:val="24"/>
        </w:rPr>
        <w:t xml:space="preserve">25</w:t>
      </w:r>
      <w:r>
        <w:rPr>
          <w:rFonts w:hint="eastAsia"/>
          <w:sz w:val="24"/>
        </w:rPr>
        <w:t xml:space="preserve">万元</w:t>
      </w:r>
      <w:r>
        <w:rPr>
          <w:rFonts w:hint="eastAsia"/>
          <w:sz w:val="24"/>
        </w:rPr>
        <w:t xml:space="preserve">/</w:t>
      </w:r>
      <w:r>
        <w:rPr>
          <w:rFonts w:hint="eastAsia"/>
          <w:sz w:val="24"/>
        </w:rPr>
        <w:t xml:space="preserve">辆、商务车二</w:t>
      </w:r>
      <w:r>
        <w:rPr>
          <w:rFonts w:hint="eastAsia"/>
          <w:sz w:val="24"/>
        </w:rPr>
        <w:t xml:space="preserve">18</w:t>
      </w:r>
      <w:r>
        <w:rPr>
          <w:rFonts w:hint="eastAsia"/>
          <w:sz w:val="24"/>
        </w:rPr>
        <w:t xml:space="preserve">万元</w:t>
      </w:r>
      <w:r>
        <w:rPr>
          <w:rFonts w:hint="eastAsia"/>
          <w:sz w:val="24"/>
        </w:rPr>
        <w:t xml:space="preserve">/</w:t>
      </w:r>
      <w:r>
        <w:rPr>
          <w:rFonts w:hint="eastAsia"/>
          <w:sz w:val="24"/>
        </w:rPr>
        <w:t xml:space="preserve">辆</w:t>
      </w:r>
      <w:r>
        <w:rPr>
          <w:rFonts w:hint="eastAsia" w:ascii="宋体" w:hAnsi="宋体"/>
          <w:sz w:val="24"/>
        </w:rPr>
        <w:t xml:space="preserve">）</w:t>
      </w:r>
      <w:r/>
    </w:p>
    <w:p>
      <w:pPr>
        <w:rPr>
          <w:rFonts w:ascii="宋体" w:hAnsi="宋体"/>
          <w:sz w:val="24"/>
        </w:rPr>
      </w:pPr>
      <w:r>
        <w:rPr>
          <w:rFonts w:hint="eastAsia" w:ascii="宋体" w:hAnsi="宋体"/>
          <w:sz w:val="24"/>
        </w:rPr>
        <w:t xml:space="preserve">分包2：72万元（最高限价：18万元/辆）</w:t>
      </w:r>
      <w:r/>
    </w:p>
    <w:p>
      <w:pPr>
        <w:rPr>
          <w:rFonts w:ascii="宋体" w:hAnsi="宋体"/>
          <w:sz w:val="24"/>
        </w:rPr>
      </w:pPr>
      <w:r>
        <w:rPr>
          <w:rFonts w:hint="eastAsia" w:ascii="宋体" w:hAnsi="宋体"/>
          <w:sz w:val="24"/>
        </w:rPr>
        <w:t xml:space="preserve">分包3：108万元（最高限价：18万元/辆）</w:t>
      </w:r>
      <w:r/>
    </w:p>
    <w:p>
      <w:pPr>
        <w:rPr>
          <w:rFonts w:ascii="宋体" w:hAnsi="宋体"/>
          <w:sz w:val="24"/>
        </w:rPr>
      </w:pPr>
      <w:r>
        <w:rPr>
          <w:rFonts w:hint="eastAsia" w:ascii="宋体" w:hAnsi="宋体"/>
          <w:sz w:val="24"/>
        </w:rPr>
        <w:t xml:space="preserve">分包4：45万元（最高限价：</w:t>
      </w:r>
      <w:r>
        <w:rPr>
          <w:rFonts w:ascii="宋体" w:hAnsi="宋体"/>
          <w:sz w:val="24"/>
          <w:lang w:val="en"/>
        </w:rPr>
        <w:t xml:space="preserve">45</w:t>
      </w:r>
      <w:r>
        <w:rPr>
          <w:rFonts w:hint="eastAsia" w:ascii="宋体" w:hAnsi="宋体"/>
          <w:sz w:val="24"/>
        </w:rPr>
        <w:t xml:space="preserve">万元/辆）</w:t>
      </w:r>
      <w:r/>
    </w:p>
    <w:p>
      <w:pPr>
        <w:rPr>
          <w:rFonts w:ascii="宋体" w:hAnsi="宋体"/>
          <w:sz w:val="24"/>
        </w:rPr>
      </w:pPr>
      <w:r>
        <w:rPr>
          <w:rFonts w:hint="eastAsia" w:ascii="宋体" w:hAnsi="宋体"/>
          <w:sz w:val="24"/>
        </w:rPr>
        <w:t xml:space="preserve">分包5：26万元（最高限价：13万元/辆）</w:t>
      </w:r>
      <w:r/>
    </w:p>
    <w:p>
      <w:pPr>
        <w:rPr>
          <w:rFonts w:ascii="宋体" w:hAnsi="宋体"/>
          <w:sz w:val="24"/>
        </w:rPr>
      </w:pPr>
      <w:r>
        <w:rPr>
          <w:rFonts w:hint="eastAsia" w:ascii="宋体" w:hAnsi="宋体"/>
          <w:sz w:val="24"/>
        </w:rPr>
        <w:t xml:space="preserve">4.采购项目概况（简介）：</w:t>
      </w:r>
      <w:r>
        <w:rPr>
          <w:rFonts w:hint="eastAsia" w:ascii="宋体" w:hAnsi="宋体" w:cs="宋体"/>
          <w:sz w:val="24"/>
        </w:rPr>
        <w:t xml:space="preserve"> 常州市机关事务管理局公务用车部分车辆已至报废年限，安全性能存在隐患，无法保障日常公务活动，根据相关规定，现需要购置一批公</w:t>
      </w:r>
      <w:r>
        <w:rPr>
          <w:rFonts w:hint="eastAsia" w:ascii="宋体" w:hAnsi="宋体"/>
          <w:sz w:val="24"/>
        </w:rPr>
        <w:t xml:space="preserve">务用车，以满足机关日常应急公务、接待调研等保障任务。</w:t>
      </w:r>
      <w:r/>
    </w:p>
    <w:p>
      <w:pPr>
        <w:rPr>
          <w:rFonts w:ascii="宋体" w:hAnsi="宋体"/>
          <w:sz w:val="24"/>
        </w:rPr>
      </w:pPr>
      <w:r>
        <w:rPr>
          <w:rFonts w:hint="eastAsia" w:ascii="宋体" w:hAnsi="宋体"/>
          <w:sz w:val="24"/>
        </w:rPr>
        <w:t xml:space="preserve">5.合同履行期限：</w:t>
      </w:r>
      <w:bookmarkStart w:id="201" w:name="OLE_LINK7"/>
      <w:r>
        <w:rPr>
          <w:rFonts w:hint="eastAsia" w:ascii="宋体" w:hAnsi="宋体"/>
          <w:sz w:val="24"/>
        </w:rPr>
        <w:t xml:space="preserve">合同签订后60天内交货</w:t>
      </w:r>
      <w:bookmarkEnd w:id="201"/>
      <w:r/>
      <w:r/>
    </w:p>
    <w:p>
      <w:pPr>
        <w:rPr>
          <w:rFonts w:ascii="宋体" w:hAnsi="宋体"/>
          <w:sz w:val="24"/>
        </w:rPr>
      </w:pPr>
      <w:r>
        <w:rPr>
          <w:rFonts w:hint="eastAsia" w:ascii="宋体" w:hAnsi="宋体"/>
          <w:sz w:val="24"/>
        </w:rPr>
        <w:t xml:space="preserve">6.是/否接受联合体投标：不接受；</w:t>
      </w:r>
      <w:r>
        <w:rPr>
          <w:rFonts w:ascii="宋体" w:hAnsi="宋体"/>
          <w:sz w:val="24"/>
        </w:rPr>
        <w:t xml:space="preserve"> </w:t>
      </w:r>
      <w:r/>
    </w:p>
    <w:p>
      <w:pPr>
        <w:rPr>
          <w:rFonts w:ascii="宋体" w:hAnsi="宋体"/>
          <w:sz w:val="24"/>
        </w:rPr>
      </w:pPr>
      <w:r>
        <w:rPr>
          <w:rFonts w:hint="eastAsia" w:ascii="宋体" w:hAnsi="宋体"/>
          <w:sz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否接受分支机构参与响应：</w:t>
      </w:r>
      <w:r>
        <w:rPr>
          <w:rFonts w:hint="eastAsia" w:ascii="宋体" w:hAnsi="宋体"/>
          <w:sz w:val="24"/>
        </w:rPr>
        <w:t xml:space="preserve">不接受</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rFonts w:ascii="宋体" w:hAnsi="宋体"/>
          <w:sz w:val="24"/>
        </w:rPr>
      </w:pPr>
      <w:r>
        <w:rPr>
          <w:rFonts w:hint="eastAsia" w:ascii="宋体" w:hAnsi="宋体"/>
          <w:sz w:val="24"/>
        </w:rPr>
        <w:t xml:space="preserve">9.</w:t>
      </w:r>
      <w:r>
        <w:rPr>
          <w:rFonts w:ascii="宋体" w:hAnsi="宋体"/>
          <w:sz w:val="24"/>
        </w:rPr>
        <w:t xml:space="preserve">是</w:t>
      </w:r>
      <w:r>
        <w:rPr>
          <w:rFonts w:hint="eastAsia" w:ascii="宋体" w:hAnsi="宋体"/>
          <w:sz w:val="24"/>
        </w:rPr>
        <w:t xml:space="preserve">/</w:t>
      </w:r>
      <w:r>
        <w:rPr>
          <w:rFonts w:ascii="宋体" w:hAnsi="宋体"/>
          <w:sz w:val="24"/>
        </w:rPr>
        <w:t xml:space="preserve">否接受</w:t>
      </w:r>
      <w:r>
        <w:rPr>
          <w:rFonts w:hint="eastAsia" w:ascii="宋体" w:hAnsi="宋体"/>
          <w:sz w:val="24"/>
        </w:rPr>
        <w:t xml:space="preserve">进口产品投标：不接受</w:t>
      </w:r>
      <w:r/>
    </w:p>
    <w:p>
      <w:pPr>
        <w:rPr>
          <w:rFonts w:ascii="宋体" w:hAnsi="宋体"/>
          <w:sz w:val="24"/>
        </w:rPr>
      </w:pPr>
      <w:r>
        <w:rPr>
          <w:rFonts w:hint="eastAsia" w:ascii="宋体" w:hAnsi="宋体"/>
          <w:sz w:val="24"/>
        </w:rPr>
        <w:t xml:space="preserve">10.</w:t>
      </w:r>
      <w:r>
        <w:rPr>
          <w:rFonts w:ascii="宋体" w:hAnsi="宋体"/>
          <w:sz w:val="24"/>
        </w:rPr>
        <w:t xml:space="preserve"> </w:t>
      </w:r>
      <w:r>
        <w:rPr>
          <w:rFonts w:hint="eastAsia" w:ascii="宋体" w:hAnsi="宋体"/>
          <w:sz w:val="24"/>
        </w:rPr>
        <w:t xml:space="preserve">是/否</w:t>
      </w:r>
      <w:r>
        <w:rPr>
          <w:rFonts w:ascii="宋体" w:hAnsi="宋体"/>
          <w:sz w:val="24"/>
        </w:rPr>
        <w:t xml:space="preserve">专门面向中小企业预留采购份额</w:t>
      </w:r>
      <w:r>
        <w:rPr>
          <w:rFonts w:hint="eastAsia" w:ascii="宋体" w:hAnsi="宋体"/>
          <w:sz w:val="24"/>
        </w:rPr>
        <w:t xml:space="preserve">：不专门面向中小企业</w:t>
      </w:r>
      <w:r/>
    </w:p>
    <w:p>
      <w:pPr>
        <w:rPr>
          <w:rFonts w:ascii="宋体" w:hAnsi="宋体"/>
          <w:sz w:val="24"/>
        </w:rPr>
      </w:pPr>
      <w:r>
        <w:rPr>
          <w:rFonts w:hint="eastAsia" w:ascii="宋体" w:hAnsi="宋体"/>
          <w:sz w:val="24"/>
        </w:rPr>
        <w:t xml:space="preserve">11.本项目的特定资格要求无</w:t>
      </w:r>
      <w:r/>
    </w:p>
    <w:p>
      <w:pPr>
        <w:rPr>
          <w:rFonts w:ascii="宋体" w:hAnsi="宋体"/>
          <w:sz w:val="24"/>
        </w:rPr>
      </w:pPr>
      <w:r>
        <w:rPr>
          <w:rFonts w:hint="eastAsia" w:ascii="宋体" w:hAnsi="宋体"/>
          <w:sz w:val="24"/>
        </w:rPr>
        <w:t xml:space="preserve">12.项目类别：货物类</w:t>
      </w:r>
      <w:r>
        <w:rPr>
          <w:rFonts w:hint="eastAsia" w:ascii="宋体" w:hAnsi="宋体"/>
          <w:sz w:val="24"/>
        </w:rPr>
        <w:t xml:space="preserve"> </w:t>
      </w:r>
      <w:r/>
    </w:p>
    <w:p>
      <w:pPr>
        <w:pStyle w:val="102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二、</w:t>
      </w: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rPr>
          <w:i/>
          <w:sz w:val="24"/>
        </w:rPr>
      </w:pPr>
      <w:r>
        <w:rPr>
          <w:rFonts w:hint="eastAsia"/>
          <w:i/>
          <w:sz w:val="24"/>
        </w:rPr>
        <w:t xml:space="preserve">  </w:t>
      </w:r>
      <w:r>
        <w:rPr>
          <w:rFonts w:hint="eastAsia"/>
          <w:sz w:val="24"/>
        </w:rPr>
        <w:t xml:space="preserve">合同签订后</w:t>
      </w:r>
      <w:r>
        <w:rPr>
          <w:rFonts w:hint="eastAsia"/>
          <w:sz w:val="24"/>
        </w:rPr>
        <w:t xml:space="preserve">60</w:t>
      </w:r>
      <w:r>
        <w:rPr>
          <w:rFonts w:hint="eastAsia"/>
          <w:sz w:val="24"/>
        </w:rPr>
        <w:t xml:space="preserve">天内交货，交货地点为常州市行政中心。</w:t>
      </w:r>
      <w:r/>
    </w:p>
    <w:p>
      <w:pPr>
        <w:rPr>
          <w:sz w:val="24"/>
        </w:rPr>
      </w:pPr>
      <w:r>
        <w:rPr>
          <w:sz w:val="24"/>
        </w:rPr>
        <w:t xml:space="preserve">2. </w:t>
      </w:r>
      <w:r>
        <w:rPr>
          <w:sz w:val="24"/>
        </w:rPr>
        <w:t xml:space="preserve">付款条件（进度和方式）</w:t>
      </w:r>
      <w:r/>
    </w:p>
    <w:p>
      <w:pPr>
        <w:rPr>
          <w:sz w:val="24"/>
        </w:rPr>
      </w:pPr>
      <w:r>
        <w:rPr>
          <w:rFonts w:hint="eastAsia"/>
          <w:sz w:val="24"/>
        </w:rPr>
        <w:t xml:space="preserve">合同签订有效期内车辆交付后，采购人组织车辆验收</w:t>
      </w:r>
      <w:r>
        <w:rPr>
          <w:rFonts w:hint="eastAsia"/>
          <w:sz w:val="24"/>
        </w:rPr>
        <w:t xml:space="preserve">,</w:t>
      </w:r>
      <w:r>
        <w:rPr>
          <w:rFonts w:hint="eastAsia"/>
          <w:sz w:val="24"/>
        </w:rPr>
        <w:t xml:space="preserve">验收合格后</w:t>
      </w:r>
      <w:r>
        <w:rPr>
          <w:rFonts w:hint="eastAsia"/>
          <w:sz w:val="24"/>
        </w:rPr>
        <w:t xml:space="preserve">,</w:t>
      </w:r>
      <w:r>
        <w:rPr>
          <w:rFonts w:hint="eastAsia"/>
          <w:sz w:val="24"/>
        </w:rPr>
        <w:t xml:space="preserve">收到正式发票一次性付清合同款。</w:t>
      </w:r>
      <w:r/>
    </w:p>
    <w:p>
      <w:pPr>
        <w:rPr>
          <w:sz w:val="24"/>
        </w:rPr>
      </w:pPr>
      <w:r>
        <w:rPr>
          <w:sz w:val="24"/>
        </w:rPr>
        <w:t xml:space="preserve">3. </w:t>
      </w:r>
      <w:r>
        <w:rPr>
          <w:sz w:val="24"/>
        </w:rPr>
        <w:t xml:space="preserve">包装和运输</w:t>
      </w:r>
      <w:r/>
    </w:p>
    <w:p>
      <w:pPr>
        <w:rPr>
          <w:b/>
          <w:bCs/>
          <w:sz w:val="24"/>
        </w:rPr>
      </w:pPr>
      <w:r>
        <w:rPr>
          <w:rFonts w:hint="eastAsia"/>
          <w:b/>
          <w:bCs/>
          <w:sz w:val="24"/>
        </w:rPr>
        <w:t xml:space="preserve">送货上门</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提供售后服务方案</w:t>
      </w:r>
      <w:r>
        <w:rPr>
          <w:rFonts w:hint="eastAsia"/>
          <w:sz w:val="24"/>
        </w:rPr>
        <w:t xml:space="preserve">:</w:t>
      </w:r>
      <w:r>
        <w:rPr>
          <w:rFonts w:hint="eastAsia"/>
          <w:sz w:val="24"/>
        </w:rPr>
        <w:t xml:space="preserve">包括但不限于售后服务措施、配件供应方案、售后服务人员及维修人员清单，以及制造商完整的随机资料</w:t>
      </w:r>
      <w:r>
        <w:rPr>
          <w:rFonts w:hint="eastAsia"/>
          <w:sz w:val="24"/>
        </w:rPr>
        <w:t xml:space="preserve">,</w:t>
      </w:r>
      <w:r>
        <w:rPr>
          <w:rFonts w:hint="eastAsia"/>
          <w:sz w:val="24"/>
        </w:rPr>
        <w:t xml:space="preserve">包括完整的使用维修手册等。</w:t>
      </w:r>
      <w:r/>
    </w:p>
    <w:p>
      <w:pPr>
        <w:rPr>
          <w:sz w:val="24"/>
        </w:rPr>
      </w:pPr>
      <w:r>
        <w:rPr>
          <w:rFonts w:hint="eastAsia"/>
          <w:sz w:val="24"/>
        </w:rPr>
        <w:t xml:space="preserve">质保期自车辆开票之日起，开始进入质保期。在产品质保期内，供应商为整车提供免费保修；</w:t>
      </w:r>
      <w:r>
        <w:rPr>
          <w:rFonts w:hint="eastAsia"/>
          <w:b/>
          <w:bCs/>
          <w:sz w:val="24"/>
        </w:rPr>
        <w:t xml:space="preserve">一旦发生质量问题，供应商需在</w:t>
      </w:r>
      <w:r>
        <w:rPr>
          <w:rFonts w:hint="eastAsia"/>
          <w:b/>
          <w:bCs/>
          <w:sz w:val="24"/>
        </w:rPr>
        <w:t xml:space="preserve">2</w:t>
      </w:r>
      <w:r>
        <w:rPr>
          <w:rFonts w:hint="eastAsia"/>
          <w:b/>
          <w:bCs/>
          <w:sz w:val="24"/>
        </w:rPr>
        <w:t xml:space="preserve">小时内响应，</w:t>
      </w:r>
      <w:r>
        <w:rPr>
          <w:rFonts w:hint="eastAsia"/>
          <w:sz w:val="24"/>
        </w:rPr>
        <w:t xml:space="preserve">费用由供应商负责。质保期外，供应商提供终身维修服务，只收取材料及人工费用。</w:t>
      </w:r>
      <w:r/>
    </w:p>
    <w:p>
      <w:pPr>
        <w:rPr>
          <w:sz w:val="24"/>
        </w:rPr>
      </w:pPr>
      <w:r>
        <w:rPr>
          <w:sz w:val="24"/>
        </w:rPr>
        <w:t xml:space="preserve">5. </w:t>
      </w:r>
      <w:r>
        <w:rPr>
          <w:sz w:val="24"/>
        </w:rPr>
        <w:t xml:space="preserve">保险</w:t>
      </w:r>
      <w:r/>
    </w:p>
    <w:p>
      <w:pPr>
        <w:rPr>
          <w:sz w:val="24"/>
        </w:rPr>
      </w:pPr>
      <w:r>
        <w:rPr>
          <w:rFonts w:hint="eastAsia"/>
          <w:sz w:val="24"/>
        </w:rPr>
        <w:t xml:space="preserve">采购人自行购买</w:t>
      </w:r>
      <w:r/>
    </w:p>
    <w:p>
      <w:pPr>
        <w:pStyle w:val="102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三、</w:t>
      </w:r>
      <w:r>
        <w:rPr>
          <w:rFonts w:ascii="Times New Roman" w:hAnsi="Times New Roman"/>
          <w:b/>
          <w:lang w:eastAsia="zh-CN"/>
        </w:rPr>
        <w:t xml:space="preserve">技术要求</w:t>
      </w:r>
      <w:r/>
    </w:p>
    <w:p>
      <w:pPr>
        <w:rPr>
          <w:sz w:val="24"/>
        </w:rPr>
      </w:pPr>
      <w:r>
        <w:rPr>
          <w:sz w:val="24"/>
        </w:rPr>
        <w:t xml:space="preserve">1. </w:t>
      </w:r>
      <w:r>
        <w:rPr>
          <w:sz w:val="24"/>
        </w:rPr>
        <w:t xml:space="preserve">基本要求</w:t>
      </w:r>
      <w:r/>
    </w:p>
    <w:p>
      <w:pPr>
        <w:ind w:firstLine="235"/>
        <w:rPr>
          <w:sz w:val="24"/>
        </w:rPr>
      </w:pPr>
      <w:r>
        <w:rPr>
          <w:sz w:val="24"/>
        </w:rPr>
        <w:t xml:space="preserve">1.1 </w:t>
      </w:r>
      <w:r>
        <w:rPr>
          <w:rFonts w:hint="eastAsia"/>
          <w:sz w:val="24"/>
        </w:rPr>
        <w:t xml:space="preserve">采购需求中如有必须满足的实质性要求，应当以斜体且下划线标注、或者加“★”号标注。并另行以表格形式单独逐条列明，且明确需要提供的证明材料。</w:t>
      </w:r>
      <w:r/>
    </w:p>
    <w:p>
      <w:pPr>
        <w:ind w:firstLine="235"/>
        <w:rPr>
          <w:sz w:val="24"/>
        </w:rPr>
      </w:pPr>
      <w:r>
        <w:rPr>
          <w:sz w:val="24"/>
        </w:rPr>
        <w:t xml:space="preserve">1.2 </w:t>
      </w: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rPr>
          <w:sz w:val="24"/>
        </w:rPr>
      </w:pPr>
      <w:r>
        <w:rPr>
          <w:rFonts w:hint="eastAsia"/>
          <w:sz w:val="24"/>
        </w:rPr>
        <w:t xml:space="preserve">1.3</w:t>
      </w:r>
      <w:r>
        <w:rPr>
          <w:rFonts w:hint="eastAsia"/>
          <w:sz w:val="24"/>
        </w:rPr>
        <w:t xml:space="preserve">所提供货物必须符合国家有关标准</w:t>
      </w:r>
      <w:r>
        <w:rPr>
          <w:rFonts w:hint="eastAsia"/>
          <w:sz w:val="24"/>
        </w:rPr>
        <w:t xml:space="preserve">;</w:t>
      </w:r>
      <w:r>
        <w:rPr>
          <w:rFonts w:hint="eastAsia"/>
          <w:sz w:val="24"/>
        </w:rPr>
        <w:t xml:space="preserve">保证货物是全新、未使用过的原装合格正品</w:t>
      </w:r>
      <w:r>
        <w:rPr>
          <w:rFonts w:hint="eastAsia"/>
          <w:sz w:val="24"/>
        </w:rPr>
        <w:t xml:space="preserve">,</w:t>
      </w:r>
      <w:r>
        <w:rPr>
          <w:rFonts w:hint="eastAsia"/>
          <w:sz w:val="24"/>
        </w:rPr>
        <w:t xml:space="preserve">并保证货物在正常使用和保养条件下</w:t>
      </w:r>
      <w:r>
        <w:rPr>
          <w:rFonts w:hint="eastAsia"/>
          <w:sz w:val="24"/>
        </w:rPr>
        <w:t xml:space="preserve">,</w:t>
      </w:r>
      <w:r>
        <w:rPr>
          <w:rFonts w:hint="eastAsia"/>
          <w:sz w:val="24"/>
        </w:rPr>
        <w:t xml:space="preserve">符合其产品的质量保证要求。在使用过程中</w:t>
      </w:r>
      <w:r>
        <w:rPr>
          <w:rFonts w:hint="eastAsia"/>
          <w:sz w:val="24"/>
        </w:rPr>
        <w:t xml:space="preserve">,</w:t>
      </w:r>
      <w:r>
        <w:rPr>
          <w:rFonts w:hint="eastAsia"/>
          <w:sz w:val="24"/>
        </w:rPr>
        <w:t xml:space="preserve">一旦发现供应商所提供的货物不是原装合格正品</w:t>
      </w:r>
      <w:r>
        <w:rPr>
          <w:rFonts w:hint="eastAsia"/>
          <w:sz w:val="24"/>
        </w:rPr>
        <w:t xml:space="preserve">,</w:t>
      </w:r>
      <w:r>
        <w:rPr>
          <w:rFonts w:hint="eastAsia"/>
          <w:sz w:val="24"/>
        </w:rPr>
        <w:t xml:space="preserve">经查实后</w:t>
      </w:r>
      <w:r>
        <w:rPr>
          <w:rFonts w:hint="eastAsia"/>
          <w:sz w:val="24"/>
        </w:rPr>
        <w:t xml:space="preserve">,</w:t>
      </w:r>
      <w:r>
        <w:rPr>
          <w:rFonts w:hint="eastAsia"/>
          <w:sz w:val="24"/>
        </w:rPr>
        <w:t xml:space="preserve">供应商必须无条件接受退货</w:t>
      </w:r>
      <w:r>
        <w:rPr>
          <w:rFonts w:hint="eastAsia"/>
          <w:sz w:val="24"/>
        </w:rPr>
        <w:t xml:space="preserve">,</w:t>
      </w:r>
      <w:r>
        <w:rPr>
          <w:rFonts w:hint="eastAsia"/>
          <w:sz w:val="24"/>
        </w:rPr>
        <w:t xml:space="preserve">并按原价货款退还采购人</w:t>
      </w:r>
      <w:r>
        <w:rPr>
          <w:rFonts w:hint="eastAsia"/>
          <w:sz w:val="24"/>
        </w:rPr>
        <w:t xml:space="preserve">,</w:t>
      </w:r>
      <w:r>
        <w:rPr>
          <w:rFonts w:hint="eastAsia"/>
          <w:sz w:val="24"/>
        </w:rPr>
        <w:t xml:space="preserve">同时</w:t>
      </w:r>
      <w:r>
        <w:rPr>
          <w:rFonts w:hint="eastAsia"/>
          <w:sz w:val="24"/>
        </w:rPr>
        <w:t xml:space="preserve">,</w:t>
      </w:r>
      <w:r>
        <w:rPr>
          <w:rFonts w:hint="eastAsia"/>
          <w:sz w:val="24"/>
        </w:rPr>
        <w:t xml:space="preserve">采购人按有关规定有权要求索赔。供应商保证所供货物能够在采购人所在地车管部门上牌。</w:t>
      </w:r>
      <w:r/>
    </w:p>
    <w:p>
      <w:pPr>
        <w:jc w:val="left"/>
        <w:spacing w:line="400" w:lineRule="exact"/>
        <w:rPr>
          <w:sz w:val="24"/>
        </w:rPr>
      </w:pPr>
      <w:r>
        <w:rPr>
          <w:rFonts w:hint="eastAsia"/>
          <w:sz w:val="24"/>
        </w:rPr>
        <w:t xml:space="preserve">1.4</w:t>
      </w:r>
      <w:r>
        <w:rPr>
          <w:rFonts w:hint="eastAsia"/>
          <w:sz w:val="24"/>
        </w:rPr>
        <w:t xml:space="preserve">免费提供</w:t>
      </w:r>
      <w:r>
        <w:rPr>
          <w:rFonts w:hint="eastAsia"/>
          <w:sz w:val="24"/>
        </w:rPr>
        <w:t xml:space="preserve">2</w:t>
      </w:r>
      <w:r>
        <w:rPr>
          <w:rFonts w:hint="eastAsia"/>
          <w:sz w:val="24"/>
        </w:rPr>
        <w:t xml:space="preserve">天以上</w:t>
      </w:r>
      <w:r>
        <w:rPr>
          <w:rFonts w:hint="eastAsia"/>
          <w:sz w:val="24"/>
        </w:rPr>
        <w:t xml:space="preserve">,</w:t>
      </w:r>
      <w:r>
        <w:rPr>
          <w:rFonts w:hint="eastAsia"/>
          <w:sz w:val="24"/>
        </w:rPr>
        <w:t xml:space="preserve">最终用户</w:t>
      </w:r>
      <w:r>
        <w:rPr>
          <w:rFonts w:hint="eastAsia"/>
          <w:sz w:val="24"/>
        </w:rPr>
        <w:t xml:space="preserve">3</w:t>
      </w:r>
      <w:r>
        <w:rPr>
          <w:rFonts w:hint="eastAsia"/>
          <w:sz w:val="24"/>
        </w:rPr>
        <w:t xml:space="preserve">人次专业技术人员的培训</w:t>
      </w:r>
      <w:r>
        <w:rPr>
          <w:rFonts w:hint="eastAsia"/>
          <w:sz w:val="24"/>
        </w:rPr>
        <w:t xml:space="preserve">,</w:t>
      </w:r>
      <w:r>
        <w:rPr>
          <w:rFonts w:hint="eastAsia"/>
          <w:sz w:val="24"/>
        </w:rPr>
        <w:t xml:space="preserve">直至对方专业技术人员能够独立操作。</w:t>
      </w:r>
      <w:r/>
    </w:p>
    <w:p>
      <w:r>
        <w:rPr>
          <w:sz w:val="24"/>
        </w:rPr>
        <w:t xml:space="preserve">2. </w:t>
      </w:r>
      <w:r>
        <w:rPr>
          <w:sz w:val="24"/>
        </w:rPr>
        <w:t xml:space="preserve">货物技术要求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
        <w:gridCol w:w="1631"/>
        <w:gridCol w:w="2587"/>
        <w:gridCol w:w="1581"/>
        <w:gridCol w:w="1581"/>
      </w:tblGrid>
      <w:tr>
        <w:trPr>
          <w:jc w:val="center"/>
          <w:trHeight w:val="190"/>
        </w:trPr>
        <w:tc>
          <w:tcPr>
            <w:tcW w:w="552" w:type="pct"/>
            <w:vAlign w:val="center"/>
            <w:textDirection w:val="lrTb"/>
            <w:noWrap w:val="false"/>
          </w:tcPr>
          <w:p>
            <w:pPr>
              <w:pStyle w:val="1022"/>
              <w:jc w:val="center"/>
              <w:rPr>
                <w:rFonts w:ascii="仿宋_GB2312" w:hAnsi="仿宋_GB2312" w:eastAsia="仿宋_GB2312" w:cs="仿宋_GB2312"/>
                <w:b/>
                <w:bCs/>
              </w:rPr>
            </w:pPr>
            <w:r>
              <w:rPr>
                <w:rFonts w:hint="eastAsia" w:ascii="仿宋_GB2312" w:hAnsi="仿宋_GB2312" w:eastAsia="仿宋_GB2312" w:cs="仿宋_GB2312"/>
                <w:b/>
                <w:bCs/>
              </w:rPr>
              <w:t xml:space="preserve">序号</w:t>
            </w:r>
            <w:r/>
          </w:p>
        </w:tc>
        <w:tc>
          <w:tcPr>
            <w:tcW w:w="983" w:type="pct"/>
            <w:vAlign w:val="center"/>
            <w:textDirection w:val="lrTb"/>
            <w:noWrap w:val="false"/>
          </w:tcPr>
          <w:p>
            <w:pPr>
              <w:pStyle w:val="1022"/>
              <w:jc w:val="center"/>
              <w:rPr>
                <w:rFonts w:ascii="仿宋_GB2312" w:hAnsi="仿宋_GB2312" w:eastAsia="仿宋_GB2312" w:cs="仿宋_GB2312"/>
                <w:b/>
                <w:bCs/>
              </w:rPr>
            </w:pPr>
            <w:r>
              <w:rPr>
                <w:rFonts w:hint="eastAsia" w:ascii="仿宋_GB2312" w:hAnsi="仿宋_GB2312" w:eastAsia="仿宋_GB2312" w:cs="仿宋_GB2312"/>
                <w:b/>
                <w:bCs/>
              </w:rPr>
              <w:t xml:space="preserve">标段</w:t>
            </w:r>
            <w:r/>
          </w:p>
        </w:tc>
        <w:tc>
          <w:tcPr>
            <w:tcW w:w="1559" w:type="pct"/>
            <w:vAlign w:val="center"/>
            <w:textDirection w:val="lrTb"/>
            <w:noWrap w:val="false"/>
          </w:tcPr>
          <w:p>
            <w:pPr>
              <w:pStyle w:val="1022"/>
              <w:jc w:val="center"/>
              <w:rPr>
                <w:rFonts w:ascii="仿宋_GB2312" w:hAnsi="仿宋_GB2312" w:eastAsia="仿宋_GB2312" w:cs="仿宋_GB2312"/>
                <w:b/>
                <w:bCs/>
              </w:rPr>
            </w:pPr>
            <w:r>
              <w:rPr>
                <w:rFonts w:hint="eastAsia" w:ascii="仿宋_GB2312" w:hAnsi="仿宋_GB2312" w:eastAsia="仿宋_GB2312" w:cs="仿宋_GB2312"/>
                <w:b/>
                <w:bCs/>
              </w:rPr>
              <w:t xml:space="preserve">内容</w:t>
            </w:r>
            <w:r/>
          </w:p>
        </w:tc>
        <w:tc>
          <w:tcPr>
            <w:tcW w:w="953" w:type="pct"/>
            <w:vAlign w:val="center"/>
            <w:textDirection w:val="lrTb"/>
            <w:noWrap w:val="false"/>
          </w:tcPr>
          <w:p>
            <w:pPr>
              <w:pStyle w:val="1022"/>
              <w:jc w:val="center"/>
              <w:rPr>
                <w:rFonts w:ascii="仿宋_GB2312" w:hAnsi="仿宋_GB2312" w:eastAsia="仿宋_GB2312" w:cs="仿宋_GB2312"/>
                <w:b/>
                <w:bCs/>
              </w:rPr>
            </w:pPr>
            <w:r>
              <w:rPr>
                <w:rFonts w:hint="eastAsia" w:ascii="仿宋_GB2312" w:hAnsi="仿宋_GB2312" w:eastAsia="仿宋_GB2312" w:cs="仿宋_GB2312"/>
                <w:b/>
                <w:bCs/>
              </w:rPr>
              <w:t xml:space="preserve">预算    （万元）</w:t>
            </w:r>
            <w:r/>
          </w:p>
        </w:tc>
        <w:tc>
          <w:tcPr>
            <w:tcW w:w="953" w:type="pct"/>
            <w:vAlign w:val="center"/>
            <w:textDirection w:val="lrTb"/>
            <w:noWrap w:val="false"/>
          </w:tcPr>
          <w:p>
            <w:pPr>
              <w:pStyle w:val="1022"/>
              <w:jc w:val="center"/>
              <w:rPr>
                <w:rFonts w:ascii="仿宋_GB2312" w:hAnsi="仿宋_GB2312" w:eastAsia="仿宋_GB2312" w:cs="仿宋_GB2312"/>
                <w:b/>
                <w:bCs/>
              </w:rPr>
            </w:pPr>
            <w:r>
              <w:rPr>
                <w:rFonts w:hint="eastAsia" w:ascii="仿宋_GB2312" w:hAnsi="仿宋_GB2312" w:eastAsia="仿宋_GB2312" w:cs="仿宋_GB2312"/>
                <w:b/>
                <w:bCs/>
              </w:rPr>
              <w:t xml:space="preserve">备注</w:t>
            </w:r>
            <w:r/>
          </w:p>
        </w:tc>
      </w:tr>
      <w:tr>
        <w:trPr>
          <w:jc w:val="center"/>
        </w:trPr>
        <w:tc>
          <w:tcPr>
            <w:tcW w:w="552" w:type="pct"/>
            <w:vAlign w:val="center"/>
            <w:textDirection w:val="lrTb"/>
            <w:noWrap w:val="false"/>
          </w:tcPr>
          <w:p>
            <w:pPr>
              <w:pStyle w:val="1022"/>
              <w:jc w:val="center"/>
              <w:rPr>
                <w:rFonts w:ascii="仿宋_GB2312" w:hAnsi="仿宋_GB2312" w:eastAsia="仿宋_GB2312" w:cs="仿宋_GB2312"/>
              </w:rPr>
            </w:pPr>
            <w:r>
              <w:rPr>
                <w:rFonts w:ascii="仿宋_GB2312" w:hAnsi="仿宋_GB2312" w:eastAsia="仿宋_GB2312" w:cs="仿宋_GB2312"/>
              </w:rPr>
              <w:t xml:space="preserve">1</w:t>
            </w:r>
            <w:r/>
          </w:p>
        </w:tc>
        <w:tc>
          <w:tcPr>
            <w:tcW w:w="98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分包1</w:t>
            </w:r>
            <w:r/>
          </w:p>
        </w:tc>
        <w:tc>
          <w:tcPr>
            <w:tcW w:w="1559" w:type="pct"/>
            <w:vAlign w:val="center"/>
            <w:textDirection w:val="lrTb"/>
            <w:noWrap w:val="false"/>
          </w:tcPr>
          <w:p>
            <w:pPr>
              <w:pStyle w:val="1022"/>
              <w:rPr>
                <w:rFonts w:ascii="仿宋_GB2312" w:hAnsi="仿宋_GB2312" w:eastAsia="仿宋_GB2312" w:cs="仿宋_GB2312"/>
              </w:rPr>
            </w:pPr>
            <w:r>
              <w:rPr>
                <w:rFonts w:hint="eastAsia" w:ascii="仿宋_GB2312" w:hAnsi="仿宋_GB2312" w:eastAsia="仿宋_GB2312" w:cs="仿宋_GB2312"/>
              </w:rPr>
              <w:t xml:space="preserve">新能源商务车</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43</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2辆</w:t>
            </w:r>
            <w:r/>
          </w:p>
        </w:tc>
      </w:tr>
      <w:tr>
        <w:trPr>
          <w:jc w:val="center"/>
        </w:trPr>
        <w:tc>
          <w:tcPr>
            <w:tcW w:w="552" w:type="pct"/>
            <w:vAlign w:val="center"/>
            <w:textDirection w:val="lrTb"/>
            <w:noWrap w:val="false"/>
          </w:tcPr>
          <w:p>
            <w:pPr>
              <w:pStyle w:val="1022"/>
              <w:jc w:val="center"/>
              <w:rPr>
                <w:rFonts w:ascii="仿宋_GB2312" w:hAnsi="仿宋_GB2312" w:eastAsia="仿宋_GB2312" w:cs="仿宋_GB2312"/>
              </w:rPr>
            </w:pPr>
            <w:r>
              <w:rPr>
                <w:rFonts w:ascii="仿宋_GB2312" w:hAnsi="仿宋_GB2312" w:eastAsia="仿宋_GB2312" w:cs="仿宋_GB2312"/>
              </w:rPr>
              <w:t xml:space="preserve">2</w:t>
            </w:r>
            <w:r/>
          </w:p>
        </w:tc>
        <w:tc>
          <w:tcPr>
            <w:tcW w:w="98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分包2</w:t>
            </w:r>
            <w:r/>
          </w:p>
        </w:tc>
        <w:tc>
          <w:tcPr>
            <w:tcW w:w="1559" w:type="pct"/>
            <w:vAlign w:val="center"/>
            <w:textDirection w:val="lrTb"/>
            <w:noWrap w:val="false"/>
          </w:tcPr>
          <w:p>
            <w:pPr>
              <w:pStyle w:val="1022"/>
              <w:rPr>
                <w:rFonts w:ascii="仿宋_GB2312" w:hAnsi="仿宋_GB2312" w:eastAsia="仿宋_GB2312" w:cs="仿宋_GB2312"/>
              </w:rPr>
            </w:pPr>
            <w:r>
              <w:rPr>
                <w:rFonts w:hint="eastAsia" w:ascii="仿宋_GB2312" w:hAnsi="仿宋_GB2312" w:eastAsia="仿宋_GB2312" w:cs="仿宋_GB2312"/>
              </w:rPr>
              <w:t xml:space="preserve">新能源轿车</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72</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4辆</w:t>
            </w:r>
            <w:r/>
          </w:p>
        </w:tc>
      </w:tr>
      <w:tr>
        <w:trPr>
          <w:jc w:val="center"/>
        </w:trPr>
        <w:tc>
          <w:tcPr>
            <w:tcW w:w="552"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3</w:t>
            </w:r>
            <w:r/>
          </w:p>
        </w:tc>
        <w:tc>
          <w:tcPr>
            <w:tcW w:w="98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分包3</w:t>
            </w:r>
            <w:r/>
          </w:p>
        </w:tc>
        <w:tc>
          <w:tcPr>
            <w:tcW w:w="1559" w:type="pct"/>
            <w:vAlign w:val="center"/>
            <w:textDirection w:val="lrTb"/>
            <w:noWrap w:val="false"/>
          </w:tcPr>
          <w:p>
            <w:pPr>
              <w:pStyle w:val="1022"/>
              <w:rPr>
                <w:rFonts w:ascii="仿宋_GB2312" w:hAnsi="仿宋_GB2312" w:eastAsia="仿宋_GB2312" w:cs="仿宋_GB2312"/>
              </w:rPr>
            </w:pPr>
            <w:r>
              <w:rPr>
                <w:rFonts w:hint="eastAsia" w:ascii="仿宋_GB2312" w:hAnsi="仿宋_GB2312" w:eastAsia="仿宋_GB2312" w:cs="仿宋_GB2312"/>
              </w:rPr>
              <w:t xml:space="preserve">新能源轿车</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108</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6辆</w:t>
            </w:r>
            <w:r/>
          </w:p>
        </w:tc>
      </w:tr>
      <w:tr>
        <w:trPr>
          <w:jc w:val="center"/>
        </w:trPr>
        <w:tc>
          <w:tcPr>
            <w:tcW w:w="552"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4</w:t>
            </w:r>
            <w:r/>
          </w:p>
        </w:tc>
        <w:tc>
          <w:tcPr>
            <w:tcW w:w="98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分包4</w:t>
            </w:r>
            <w:r/>
          </w:p>
        </w:tc>
        <w:tc>
          <w:tcPr>
            <w:tcW w:w="1559" w:type="pct"/>
            <w:vAlign w:val="center"/>
            <w:textDirection w:val="lrTb"/>
            <w:noWrap w:val="false"/>
          </w:tcPr>
          <w:p>
            <w:pPr>
              <w:pStyle w:val="1022"/>
              <w:rPr>
                <w:rFonts w:ascii="仿宋_GB2312" w:hAnsi="仿宋_GB2312" w:eastAsia="仿宋_GB2312" w:cs="仿宋_GB2312"/>
              </w:rPr>
            </w:pPr>
            <w:r>
              <w:rPr>
                <w:rFonts w:hint="eastAsia" w:ascii="仿宋_GB2312" w:hAnsi="仿宋_GB2312" w:eastAsia="仿宋_GB2312" w:cs="仿宋_GB2312"/>
              </w:rPr>
              <w:t xml:space="preserve">大型客车</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45</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1辆</w:t>
            </w:r>
            <w:r/>
          </w:p>
        </w:tc>
      </w:tr>
      <w:tr>
        <w:trPr>
          <w:jc w:val="center"/>
        </w:trPr>
        <w:tc>
          <w:tcPr>
            <w:tcW w:w="552"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5</w:t>
            </w:r>
            <w:r/>
          </w:p>
        </w:tc>
        <w:tc>
          <w:tcPr>
            <w:tcW w:w="98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分包5</w:t>
            </w:r>
            <w:r/>
          </w:p>
        </w:tc>
        <w:tc>
          <w:tcPr>
            <w:tcW w:w="1559" w:type="pct"/>
            <w:vAlign w:val="center"/>
            <w:textDirection w:val="lrTb"/>
            <w:noWrap w:val="false"/>
          </w:tcPr>
          <w:p>
            <w:pPr>
              <w:pStyle w:val="1022"/>
              <w:rPr>
                <w:rFonts w:ascii="仿宋_GB2312" w:hAnsi="仿宋_GB2312" w:eastAsia="仿宋_GB2312" w:cs="仿宋_GB2312"/>
              </w:rPr>
            </w:pPr>
            <w:r>
              <w:rPr>
                <w:rFonts w:hint="eastAsia" w:ascii="仿宋_GB2312" w:hAnsi="仿宋_GB2312" w:eastAsia="仿宋_GB2312" w:cs="仿宋_GB2312"/>
              </w:rPr>
              <w:t xml:space="preserve">新能源轿车</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27</w:t>
            </w:r>
            <w:r/>
          </w:p>
        </w:tc>
        <w:tc>
          <w:tcPr>
            <w:tcW w:w="953" w:type="pct"/>
            <w:vAlign w:val="center"/>
            <w:textDirection w:val="lrTb"/>
            <w:noWrap w:val="false"/>
          </w:tcPr>
          <w:p>
            <w:pPr>
              <w:pStyle w:val="1022"/>
              <w:jc w:val="center"/>
              <w:rPr>
                <w:rFonts w:ascii="仿宋_GB2312" w:hAnsi="仿宋_GB2312" w:eastAsia="仿宋_GB2312" w:cs="仿宋_GB2312"/>
              </w:rPr>
            </w:pPr>
            <w:r>
              <w:rPr>
                <w:rFonts w:hint="eastAsia" w:ascii="仿宋_GB2312" w:hAnsi="仿宋_GB2312" w:eastAsia="仿宋_GB2312" w:cs="仿宋_GB2312"/>
              </w:rPr>
              <w:t xml:space="preserve">2辆</w:t>
            </w:r>
            <w:r/>
          </w:p>
        </w:tc>
      </w:tr>
    </w:tbl>
    <w:p>
      <w:pPr>
        <w:pStyle w:val="1022"/>
      </w:pPr>
      <w:r/>
      <w:r/>
    </w:p>
    <w:p>
      <w:pPr>
        <w:jc w:val="left"/>
        <w:spacing w:line="40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（1）、分包1： 新能源小型客车2辆（</w:t>
      </w:r>
      <w:bookmarkStart w:id="202" w:name="_Hlk176355411"/>
      <w:r>
        <w:rPr>
          <w:rFonts w:hint="eastAsia" w:ascii="仿宋_GB2312" w:hAnsi="仿宋_GB2312" w:eastAsia="仿宋_GB2312" w:cs="仿宋_GB2312"/>
          <w:b/>
          <w:bCs/>
          <w:sz w:val="28"/>
          <w:szCs w:val="28"/>
        </w:rPr>
        <w:t xml:space="preserve">公务用车）</w:t>
      </w:r>
      <w:bookmarkEnd w:id="202"/>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71"/>
        <w:gridCol w:w="840"/>
        <w:gridCol w:w="647"/>
        <w:gridCol w:w="6438"/>
      </w:tblGrid>
      <w:tr>
        <w:trPr>
          <w:jc w:val="center"/>
          <w:trHeight w:val="372"/>
        </w:trPr>
        <w:tc>
          <w:tcPr>
            <w:shd w:val="clear" w:color="auto" w:fill="ffffff"/>
            <w:tcMar>
              <w:left w:w="15" w:type="dxa"/>
              <w:top w:w="15" w:type="dxa"/>
              <w:right w:w="15" w:type="dxa"/>
              <w:bottom w:w="15" w:type="dxa"/>
            </w:tcMar>
            <w:tcW w:w="224"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序号</w:t>
            </w:r>
            <w:r/>
          </w:p>
        </w:tc>
        <w:tc>
          <w:tcPr>
            <w:shd w:val="clear" w:color="auto" w:fill="ffffff"/>
            <w:tcMar>
              <w:left w:w="15" w:type="dxa"/>
              <w:top w:w="15" w:type="dxa"/>
              <w:right w:w="15" w:type="dxa"/>
              <w:bottom w:w="15" w:type="dxa"/>
            </w:tcMar>
            <w:tcW w:w="506"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采购项名称</w:t>
            </w:r>
            <w:r/>
          </w:p>
        </w:tc>
        <w:tc>
          <w:tcPr>
            <w:shd w:val="clear" w:color="auto" w:fill="ffffff"/>
            <w:tcMar>
              <w:left w:w="15" w:type="dxa"/>
              <w:top w:w="15" w:type="dxa"/>
              <w:right w:w="15" w:type="dxa"/>
              <w:bottom w:w="15" w:type="dxa"/>
            </w:tcMar>
            <w:tcW w:w="390"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数量</w:t>
            </w:r>
            <w:r/>
          </w:p>
        </w:tc>
        <w:tc>
          <w:tcPr>
            <w:shd w:val="clear" w:color="auto" w:fill="ffffff"/>
            <w:tcMar>
              <w:left w:w="15" w:type="dxa"/>
              <w:top w:w="15" w:type="dxa"/>
              <w:right w:w="15" w:type="dxa"/>
              <w:bottom w:w="15" w:type="dxa"/>
            </w:tcMar>
            <w:tcW w:w="3880"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技术要求  </w:t>
            </w:r>
            <w:r/>
          </w:p>
        </w:tc>
      </w:tr>
      <w:tr>
        <w:trPr>
          <w:cantSplit/>
          <w:jc w:val="center"/>
          <w:trHeight w:val="2422"/>
        </w:trPr>
        <w:tc>
          <w:tcPr>
            <w:shd w:val="clear" w:color="auto" w:fill="ffffff"/>
            <w:tcMar>
              <w:left w:w="15" w:type="dxa"/>
              <w:top w:w="15" w:type="dxa"/>
              <w:right w:w="15" w:type="dxa"/>
              <w:bottom w:w="15" w:type="dxa"/>
            </w:tcMar>
            <w:tcW w:w="224"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506" w:type="pct"/>
            <w:vAlign w:val="center"/>
            <w:vMerge w:val="restart"/>
            <w:textDirection w:val="lrTb"/>
            <w:noWrap w:val="false"/>
          </w:tcPr>
          <w:p>
            <w:pPr>
              <w:jc w:val="left"/>
              <w:widowControl/>
              <w:rPr>
                <w:rFonts w:ascii="仿宋_GB2312" w:hAnsi="仿宋_GB2312" w:eastAsia="仿宋_GB2312" w:cs="仿宋_GB2312"/>
              </w:rPr>
            </w:pPr>
            <w:r>
              <w:rPr>
                <w:rFonts w:hint="eastAsia" w:ascii="仿宋_GB2312" w:hAnsi="仿宋_GB2312" w:eastAsia="仿宋_GB2312" w:cs="仿宋_GB2312"/>
                <w:b/>
                <w:bCs/>
              </w:rPr>
              <w:t xml:space="preserve">新能源商务车（最高限价25万元/辆）</w:t>
            </w:r>
            <w:r/>
          </w:p>
        </w:tc>
        <w:tc>
          <w:tcPr>
            <w:shd w:val="clear" w:color="auto" w:fill="ffffff"/>
            <w:tcMar>
              <w:left w:w="15" w:type="dxa"/>
              <w:top w:w="15" w:type="dxa"/>
              <w:right w:w="15" w:type="dxa"/>
              <w:bottom w:w="15" w:type="dxa"/>
            </w:tcMar>
            <w:tcW w:w="390"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3880" w:type="pct"/>
            <w:vAlign w:val="center"/>
            <w:textDirection w:val="lrTb"/>
            <w:noWrap w:val="false"/>
          </w:tcPr>
          <w:p>
            <w:pPr>
              <w:pStyle w:val="925"/>
              <w:ind w:left="840" w:hanging="420"/>
              <w:rPr>
                <w:rFonts w:ascii="仿宋_GB2312" w:hAnsi="宋体" w:eastAsia="仿宋_GB2312" w:cs="宋体"/>
              </w:rPr>
            </w:pPr>
            <w:r>
              <w:rPr>
                <w:rFonts w:hint="eastAsia" w:ascii="仿宋_GB2312" w:hAnsi="宋体" w:eastAsia="仿宋_GB2312" w:cs="仿宋_GB2312"/>
              </w:rPr>
              <w:t xml:space="preserve">★1.能源类型：新能源（</w:t>
            </w:r>
            <w:r>
              <w:rPr>
                <w:rFonts w:hint="eastAsia" w:ascii="仿宋_GB2312" w:hAnsi="宋体" w:eastAsia="仿宋_GB2312"/>
              </w:rPr>
              <w:t xml:space="preserve">插电式混合动力</w:t>
            </w:r>
            <w:r>
              <w:rPr>
                <w:rFonts w:hint="eastAsia" w:ascii="仿宋_GB2312" w:hAnsi="宋体" w:eastAsia="仿宋_GB2312" w:cs="仿宋_GB2312"/>
              </w:rPr>
              <w:t xml:space="preserve">）；车身结构：</w:t>
            </w:r>
            <w:r>
              <w:rPr>
                <w:rFonts w:hint="eastAsia" w:ascii="仿宋_GB2312" w:hAnsi="宋体" w:eastAsia="仿宋_GB2312"/>
              </w:rPr>
              <w:t xml:space="preserve">五门，七座，MPV；车身长度（mm）：</w:t>
            </w:r>
            <w:r>
              <w:rPr>
                <w:rFonts w:ascii="仿宋_GB2312" w:hAnsi="宋体" w:eastAsia="仿宋_GB2312"/>
                <w:lang w:val="en"/>
              </w:rPr>
              <w:t xml:space="preserve">51</w:t>
            </w:r>
            <w:r>
              <w:rPr>
                <w:rFonts w:hint="eastAsia" w:ascii="仿宋_GB2312" w:hAnsi="宋体" w:eastAsia="仿宋_GB2312"/>
              </w:rPr>
              <w:t xml:space="preserve">90≤长度≤5200；车身宽度（mm</w:t>
            </w:r>
            <w:r>
              <w:rPr>
                <w:rFonts w:ascii="仿宋_GB2312" w:hAnsi="宋体" w:eastAsia="仿宋_GB2312"/>
              </w:rPr>
              <w:t xml:space="preserve">）</w:t>
            </w:r>
            <w:r>
              <w:rPr>
                <w:rFonts w:hint="eastAsia" w:ascii="仿宋_GB2312" w:hAnsi="宋体" w:eastAsia="仿宋_GB2312"/>
              </w:rPr>
              <w:t xml:space="preserve">：1890≤宽度≤1900；车身高度（mm）：1</w:t>
            </w:r>
            <w:r>
              <w:rPr>
                <w:rFonts w:ascii="仿宋_GB2312" w:hAnsi="宋体" w:eastAsia="仿宋_GB2312"/>
                <w:lang w:val="en"/>
              </w:rPr>
              <w:t xml:space="preserve">8</w:t>
            </w:r>
            <w:r>
              <w:rPr>
                <w:rFonts w:hint="eastAsia" w:ascii="仿宋_GB2312" w:hAnsi="宋体" w:eastAsia="仿宋_GB2312"/>
              </w:rPr>
              <w:t xml:space="preserve">20≤高度≤1900；轴距（mm）:</w:t>
            </w:r>
            <w:r>
              <w:rPr>
                <w:rFonts w:ascii="仿宋_GB2312" w:hAnsi="宋体" w:eastAsia="仿宋_GB2312"/>
                <w:lang w:val="en"/>
              </w:rPr>
              <w:t xml:space="preserve">30</w:t>
            </w:r>
            <w:r>
              <w:rPr>
                <w:rFonts w:hint="eastAsia" w:ascii="仿宋_GB2312" w:hAnsi="宋体" w:eastAsia="仿宋_GB2312"/>
              </w:rPr>
              <w:t xml:space="preserve">00≤轴距≤3100；</w:t>
            </w:r>
            <w:r>
              <w:rPr>
                <w:rFonts w:hint="eastAsia" w:ascii="仿宋_GB2312" w:hAnsi="宋体" w:eastAsia="仿宋_GB2312"/>
                <w:color w:val="000000"/>
              </w:rPr>
              <w:t xml:space="preserve">排量：≥1</w:t>
            </w:r>
            <w:r>
              <w:rPr>
                <w:rFonts w:ascii="仿宋_GB2312" w:hAnsi="宋体" w:eastAsia="仿宋_GB2312"/>
                <w:color w:val="000000"/>
                <w:lang w:val="en"/>
              </w:rPr>
              <w:t xml:space="preserve">.</w:t>
            </w:r>
            <w:r>
              <w:rPr>
                <w:rFonts w:hint="eastAsia" w:ascii="仿宋_GB2312" w:hAnsi="宋体" w:eastAsia="仿宋_GB2312"/>
                <w:color w:val="000000"/>
              </w:rPr>
              <w:t xml:space="preserve">8T；</w:t>
            </w:r>
            <w:r>
              <w:rPr>
                <w:rFonts w:hint="eastAsia" w:ascii="仿宋_GB2312" w:hAnsi="宋体" w:eastAsia="仿宋_GB2312"/>
                <w:sz w:val="21"/>
                <w:szCs w:val="21"/>
              </w:rPr>
              <w:t xml:space="preserve">发动机最大功率（kW）：</w:t>
            </w:r>
            <w:r>
              <w:rPr>
                <w:rFonts w:hint="eastAsia" w:ascii="仿宋_GB2312" w:hAnsi="宋体" w:eastAsia="仿宋_GB2312"/>
              </w:rPr>
              <w:t xml:space="preserve">≥</w:t>
            </w:r>
            <w:r>
              <w:rPr>
                <w:rFonts w:hint="eastAsia" w:ascii="仿宋_GB2312" w:hAnsi="宋体" w:eastAsia="仿宋_GB2312"/>
                <w:sz w:val="21"/>
                <w:szCs w:val="21"/>
              </w:rPr>
              <w:t xml:space="preserve">110；</w:t>
            </w:r>
            <w:r>
              <w:rPr>
                <w:rFonts w:hint="eastAsia" w:ascii="仿宋_GB2312" w:hAnsi="宋体" w:eastAsia="仿宋_GB2312" w:cs="宋体"/>
                <w:color w:val="000000"/>
              </w:rPr>
              <w:t xml:space="preserve">前</w:t>
            </w:r>
            <w:r>
              <w:rPr>
                <w:rFonts w:hint="eastAsia" w:ascii="仿宋_GB2312" w:hAnsi="宋体" w:eastAsia="仿宋_GB2312"/>
                <w:color w:val="000000"/>
              </w:rPr>
              <w:t xml:space="preserve">电机</w:t>
            </w:r>
            <w:r>
              <w:rPr>
                <w:rFonts w:hint="eastAsia" w:ascii="仿宋_GB2312" w:hAnsi="宋体" w:eastAsia="仿宋_GB2312"/>
              </w:rPr>
              <w:t xml:space="preserve">最大功率（KW）：130≤最大功率≤200；WLTC综合工况纯电续航里程（km）：≥100；WLTC综合工况综合续驶里程（km）：≥1000；</w:t>
            </w:r>
            <w:r>
              <w:rPr>
                <w:rFonts w:hint="eastAsia" w:ascii="仿宋_GB2312" w:hAnsi="仿宋_GB2312" w:eastAsia="仿宋_GB2312" w:cs="仿宋_GB2312"/>
                <w:bCs/>
              </w:rPr>
              <w:t xml:space="preserve">整车质保：首任车主</w:t>
            </w:r>
            <w:r>
              <w:rPr>
                <w:rFonts w:hint="eastAsia" w:ascii="仿宋_GB2312" w:hAnsi="仿宋_GB2312" w:eastAsia="仿宋_GB2312" w:cs="仿宋_GB2312"/>
              </w:rPr>
              <w:t xml:space="preserve">三电</w:t>
            </w:r>
            <w:r>
              <w:rPr>
                <w:rFonts w:hint="eastAsia" w:ascii="仿宋_GB2312" w:hAnsi="仿宋_GB2312" w:eastAsia="仿宋_GB2312" w:cs="仿宋_GB2312"/>
                <w:color w:val="000000"/>
              </w:rPr>
              <w:t xml:space="preserve">终身质保</w:t>
            </w:r>
            <w:r>
              <w:rPr>
                <w:rFonts w:hint="eastAsia" w:ascii="仿宋_GB2312" w:hAnsi="仿宋_GB2312" w:eastAsia="仿宋_GB2312" w:cs="仿宋_GB2312"/>
              </w:rPr>
              <w:t xml:space="preserve">；首任车主3年或10万公里整车质保；</w:t>
            </w:r>
            <w:r>
              <w:rPr>
                <w:rFonts w:hint="eastAsia" w:ascii="仿宋_GB2312" w:hAnsi="宋体" w:eastAsia="仿宋_GB2312"/>
                <w:sz w:val="21"/>
                <w:szCs w:val="21"/>
              </w:rPr>
              <w:t xml:space="preserve">双侧电动滑移门、二排头等舱座椅（10点式按摩）。</w:t>
            </w:r>
            <w:r>
              <w:rPr>
                <w:rFonts w:hint="eastAsia" w:ascii="仿宋_GB2312" w:hAnsi="仿宋_GB2312" w:eastAsia="仿宋_GB2312" w:cs="仿宋_GB2312"/>
              </w:rPr>
              <w:t xml:space="preserve">（投标人需提供车辆使用说明书或承诺函，并加盖投标单位公章）</w:t>
            </w:r>
            <w:r/>
          </w:p>
        </w:tc>
      </w:tr>
      <w:tr>
        <w:trPr>
          <w:cantSplit/>
          <w:jc w:val="center"/>
          <w:trHeight w:val="350"/>
        </w:trPr>
        <w:tc>
          <w:tcPr>
            <w:tcW w:w="224"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宋体" w:eastAsia="仿宋_GB2312" w:cs="仿宋_GB2312"/>
                <w:sz w:val="21"/>
                <w:szCs w:val="21"/>
              </w:rPr>
              <w:t xml:space="preserve">2.变速箱形式：GMC400两档DHT</w:t>
            </w:r>
            <w:r/>
          </w:p>
        </w:tc>
      </w:tr>
      <w:tr>
        <w:trPr>
          <w:cantSplit/>
          <w:jc w:val="center"/>
          <w:trHeight w:val="350"/>
        </w:trPr>
        <w:tc>
          <w:tcPr>
            <w:tcW w:w="224"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宋体" w:eastAsia="仿宋_GB2312" w:cs="仿宋_GB2312"/>
                <w:sz w:val="21"/>
                <w:szCs w:val="21"/>
              </w:rPr>
              <w:t xml:space="preserve">3.</w:t>
            </w:r>
            <w:r>
              <w:rPr>
                <w:rFonts w:hint="eastAsia" w:ascii="仿宋_GB2312" w:hAnsi="宋体" w:eastAsia="仿宋_GB2312"/>
                <w:sz w:val="21"/>
                <w:szCs w:val="21"/>
              </w:rPr>
              <w:t xml:space="preserve">悬架：前麦弗逊/后多连杆</w:t>
            </w:r>
            <w:r/>
          </w:p>
        </w:tc>
      </w:tr>
      <w:tr>
        <w:trPr>
          <w:cantSplit/>
          <w:jc w:val="center"/>
          <w:trHeight w:val="350"/>
        </w:trPr>
        <w:tc>
          <w:tcPr>
            <w:tcW w:w="224"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pStyle w:val="1019"/>
              <w:jc w:val="both"/>
              <w:rPr>
                <w:rFonts w:ascii="仿宋_GB2312" w:hAnsi="宋体" w:eastAsia="仿宋_GB2312" w:cs="宋体"/>
                <w:sz w:val="21"/>
                <w:szCs w:val="21"/>
                <w:shd w:val="clear" w:color="auto" w:fill="ffffff"/>
              </w:rPr>
            </w:pPr>
            <w:r>
              <w:rPr>
                <w:rFonts w:hint="eastAsia" w:ascii="仿宋_GB2312" w:hAnsi="宋体" w:eastAsia="仿宋_GB2312" w:cs="仿宋_GB2312"/>
                <w:sz w:val="21"/>
                <w:szCs w:val="21"/>
              </w:rPr>
              <w:t xml:space="preserve">4</w:t>
            </w:r>
            <w:r>
              <w:rPr>
                <w:rFonts w:hint="eastAsia" w:ascii="仿宋_GB2312" w:hAnsi="宋体" w:eastAsia="仿宋_GB2312" w:cs="仿宋_GB2312"/>
                <w:color w:val="0000ff"/>
                <w:sz w:val="21"/>
                <w:szCs w:val="21"/>
              </w:rPr>
              <w:t xml:space="preserve">.</w:t>
            </w:r>
            <w:r>
              <w:rPr>
                <w:rFonts w:hint="eastAsia" w:ascii="仿宋_GB2312" w:hAnsi="宋体" w:eastAsia="仿宋_GB2312"/>
                <w:color w:val="000000"/>
                <w:sz w:val="21"/>
                <w:szCs w:val="21"/>
              </w:rPr>
              <w:t xml:space="preserve">电池类型：三元锂电池或刀片电池</w:t>
            </w:r>
            <w:r/>
          </w:p>
        </w:tc>
      </w:tr>
      <w:tr>
        <w:trPr>
          <w:cantSplit/>
          <w:jc w:val="center"/>
          <w:trHeight w:val="350"/>
        </w:trPr>
        <w:tc>
          <w:tcPr>
            <w:tcW w:w="224"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pStyle w:val="1019"/>
              <w:jc w:val="both"/>
              <w:rPr>
                <w:rFonts w:ascii="仿宋_GB2312" w:hAnsi="宋体" w:eastAsia="仿宋_GB2312"/>
                <w:sz w:val="21"/>
                <w:szCs w:val="21"/>
              </w:rPr>
            </w:pPr>
            <w:r>
              <w:rPr>
                <w:rFonts w:hint="eastAsia" w:ascii="仿宋_GB2312" w:hAnsi="宋体" w:eastAsia="仿宋_GB2312"/>
                <w:sz w:val="21"/>
                <w:szCs w:val="21"/>
              </w:rPr>
              <w:t xml:space="preserve">5.制动器类型：前：通风盘式/后：通风盘式</w:t>
            </w:r>
            <w:r/>
          </w:p>
        </w:tc>
      </w:tr>
      <w:tr>
        <w:trPr>
          <w:cantSplit/>
          <w:jc w:val="center"/>
          <w:trHeight w:val="319"/>
        </w:trPr>
        <w:tc>
          <w:tcPr>
            <w:tcW w:w="224"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jc w:val="left"/>
              <w:widowControl/>
              <w:rPr>
                <w:rFonts w:ascii="仿宋_GB2312" w:hAnsi="宋体" w:eastAsia="仿宋_GB2312"/>
              </w:rPr>
            </w:pPr>
            <w:r>
              <w:rPr>
                <w:rFonts w:hint="eastAsia" w:ascii="仿宋_GB2312" w:hAnsi="宋体" w:eastAsia="仿宋_GB2312"/>
              </w:rPr>
              <w:t xml:space="preserve">6.安全配置：前排单级双SRS安全气囊、前排侧气囊、侧气帘胎压监测系统、防盗报警</w:t>
            </w:r>
            <w:r/>
          </w:p>
        </w:tc>
      </w:tr>
      <w:tr>
        <w:trPr>
          <w:cantSplit/>
          <w:jc w:val="center"/>
          <w:trHeight w:val="834"/>
        </w:trPr>
        <w:tc>
          <w:tcPr>
            <w:tcW w:w="224"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80" w:type="pct"/>
            <w:vAlign w:val="center"/>
            <w:textDirection w:val="lrTb"/>
            <w:noWrap w:val="false"/>
          </w:tcPr>
          <w:p>
            <w:pPr>
              <w:pStyle w:val="1019"/>
              <w:jc w:val="both"/>
              <w:rPr>
                <w:rFonts w:ascii="仿宋_GB2312" w:hAnsi="宋体" w:eastAsia="仿宋_GB2312"/>
                <w:sz w:val="21"/>
                <w:szCs w:val="21"/>
              </w:rPr>
            </w:pPr>
            <w:r>
              <w:rPr>
                <w:rFonts w:hint="eastAsia" w:ascii="仿宋_GB2312" w:hAnsi="宋体" w:eastAsia="仿宋_GB2312"/>
                <w:sz w:val="21"/>
                <w:szCs w:val="21"/>
              </w:rPr>
              <w:t xml:space="preserve">7.基础配置：双侧电动滑移门（一键开启）、LED前大灯、二排头等舱座椅（带通风、加热、10点式按摩）、三区自动空调、无风感空调</w:t>
            </w:r>
            <w:r/>
          </w:p>
        </w:tc>
      </w:tr>
      <w:tr>
        <w:trPr>
          <w:cantSplit/>
          <w:jc w:val="center"/>
          <w:trHeight w:val="2281"/>
        </w:trPr>
        <w:tc>
          <w:tcPr>
            <w:tcW w:w="224" w:type="pct"/>
            <w:vAlign w:val="center"/>
            <w:vMerge w:val="restart"/>
            <w:textDirection w:val="lrTb"/>
            <w:noWrap w:val="false"/>
          </w:tcPr>
          <w:p>
            <w:pPr>
              <w:pStyle w:val="1022"/>
              <w:jc w:val="center"/>
              <w:rPr>
                <w:rFonts w:ascii="仿宋_GB2312" w:eastAsia="仿宋_GB2312"/>
                <w:sz w:val="21"/>
                <w:szCs w:val="21"/>
              </w:rPr>
            </w:pPr>
            <w:r>
              <w:rPr>
                <w:rFonts w:hint="eastAsia" w:ascii="仿宋_GB2312" w:eastAsia="仿宋_GB2312"/>
                <w:sz w:val="21"/>
                <w:szCs w:val="21"/>
              </w:rPr>
              <w:t xml:space="preserve">2</w:t>
            </w:r>
            <w:r/>
          </w:p>
        </w:tc>
        <w:tc>
          <w:tcPr>
            <w:tcW w:w="506"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b/>
                <w:bCs/>
              </w:rPr>
              <w:t xml:space="preserve">新能源商务车（最高限价18万元/辆）</w:t>
            </w:r>
            <w:r/>
          </w:p>
        </w:tc>
        <w:tc>
          <w:tcPr>
            <w:tcW w:w="390"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3880" w:type="pct"/>
            <w:vAlign w:val="center"/>
            <w:textDirection w:val="lrTb"/>
            <w:noWrap w:val="false"/>
          </w:tcPr>
          <w:p>
            <w:pPr>
              <w:ind w:firstLine="420"/>
              <w:jc w:val="left"/>
              <w:rPr>
                <w:rFonts w:ascii="仿宋_GB2312" w:hAnsi="宋体" w:eastAsia="仿宋_GB2312" w:cs="宋体"/>
              </w:rPr>
            </w:pPr>
            <w:r>
              <w:rPr>
                <w:rFonts w:hint="eastAsia" w:ascii="仿宋_GB2312" w:hAnsi="宋体" w:eastAsia="仿宋_GB2312" w:cs="仿宋_GB2312"/>
              </w:rPr>
              <w:t xml:space="preserve">★1.能源类型：新能源（</w:t>
            </w:r>
            <w:r>
              <w:rPr>
                <w:rFonts w:hint="eastAsia" w:ascii="仿宋_GB2312" w:hAnsi="宋体" w:eastAsia="仿宋_GB2312"/>
              </w:rPr>
              <w:t xml:space="preserve">插电式混合动力</w:t>
            </w:r>
            <w:r>
              <w:rPr>
                <w:rFonts w:hint="eastAsia" w:ascii="仿宋_GB2312" w:hAnsi="宋体" w:eastAsia="仿宋_GB2312" w:cs="仿宋_GB2312"/>
              </w:rPr>
              <w:t xml:space="preserve">）；车身结构：</w:t>
            </w:r>
            <w:r>
              <w:rPr>
                <w:rFonts w:hint="eastAsia" w:ascii="仿宋_GB2312" w:hAnsi="宋体" w:eastAsia="仿宋_GB2312"/>
              </w:rPr>
              <w:t xml:space="preserve">五门，七座，MPV；车身长度（mm）：4920≤长度≤5000；车身宽度（mm</w:t>
            </w:r>
            <w:r>
              <w:rPr>
                <w:rFonts w:ascii="仿宋_GB2312" w:hAnsi="宋体" w:eastAsia="仿宋_GB2312"/>
              </w:rPr>
              <w:t xml:space="preserve">）</w:t>
            </w:r>
            <w:r>
              <w:rPr>
                <w:rFonts w:hint="eastAsia" w:ascii="仿宋_GB2312" w:hAnsi="宋体" w:eastAsia="仿宋_GB2312"/>
              </w:rPr>
              <w:t xml:space="preserve">：1900≤宽度≤1950；车身高度（mm）：1760≤高度≤1800；轴距（mm）:2930≤轴距≤3000；排量：≥1.8L；</w:t>
            </w:r>
            <w:r>
              <w:rPr>
                <w:rFonts w:hint="eastAsia" w:ascii="仿宋_GB2312" w:hAnsi="宋体" w:eastAsia="仿宋_GB2312" w:cs="宋体"/>
              </w:rPr>
              <w:t xml:space="preserve">前</w:t>
            </w:r>
            <w:r>
              <w:rPr>
                <w:rFonts w:hint="eastAsia" w:ascii="仿宋_GB2312" w:hAnsi="宋体" w:eastAsia="仿宋_GB2312"/>
                <w:color w:val="000000"/>
              </w:rPr>
              <w:t xml:space="preserve">电机</w:t>
            </w:r>
            <w:r>
              <w:rPr>
                <w:rFonts w:hint="eastAsia" w:ascii="仿宋_GB2312" w:hAnsi="宋体" w:eastAsia="仿宋_GB2312"/>
              </w:rPr>
              <w:t xml:space="preserve">最大功率（KW）：</w:t>
            </w:r>
            <w:r>
              <w:rPr>
                <w:rFonts w:hint="eastAsia" w:ascii="仿宋_GB2312" w:hAnsi="宋体" w:eastAsia="仿宋_GB2312"/>
                <w:color w:val="000000"/>
              </w:rPr>
              <w:t xml:space="preserve">前电机最大功率</w:t>
            </w:r>
            <w:r>
              <w:rPr>
                <w:rFonts w:hint="eastAsia" w:ascii="仿宋_GB2312" w:hAnsi="宋体" w:eastAsia="仿宋_GB2312"/>
              </w:rPr>
              <w:t xml:space="preserve">≥130</w:t>
            </w:r>
            <w:r>
              <w:rPr>
                <w:rFonts w:hint="eastAsia" w:ascii="仿宋_GB2312" w:hAnsi="宋体" w:eastAsia="仿宋_GB2312"/>
                <w:color w:val="000000"/>
              </w:rPr>
              <w:t xml:space="preserve">；</w:t>
            </w:r>
            <w:r>
              <w:rPr>
                <w:rFonts w:hint="eastAsia" w:ascii="仿宋_GB2312" w:hAnsi="宋体" w:eastAsia="仿宋_GB2312"/>
              </w:rPr>
              <w:t xml:space="preserve">CLTC综合工况纯电续驶里程(km)：≥150；CLTC综合工况综合续驶里程（km）：≥1200；</w:t>
            </w:r>
            <w:r>
              <w:rPr>
                <w:rFonts w:hint="eastAsia" w:ascii="仿宋_GB2312" w:hAnsi="仿宋_GB2312" w:eastAsia="仿宋_GB2312" w:cs="仿宋_GB2312"/>
              </w:rPr>
              <w:t xml:space="preserve">整车质保：</w:t>
            </w:r>
            <w:r>
              <w:rPr>
                <w:rFonts w:hint="eastAsia" w:ascii="仿宋_GB2312" w:hAnsi="仿宋_GB2312" w:eastAsia="仿宋_GB2312" w:cs="仿宋_GB2312"/>
                <w:bCs/>
              </w:rPr>
              <w:t xml:space="preserve">首任车主</w:t>
            </w:r>
            <w:r>
              <w:rPr>
                <w:rFonts w:hint="eastAsia" w:ascii="仿宋_GB2312" w:hAnsi="仿宋_GB2312" w:eastAsia="仿宋_GB2312" w:cs="仿宋_GB2312"/>
              </w:rPr>
              <w:t xml:space="preserve">三电</w:t>
            </w:r>
            <w:r>
              <w:rPr>
                <w:rFonts w:hint="eastAsia" w:ascii="仿宋_GB2312" w:hAnsi="仿宋_GB2312" w:eastAsia="仿宋_GB2312" w:cs="仿宋_GB2312"/>
                <w:color w:val="000000"/>
              </w:rPr>
              <w:t xml:space="preserve">终身质保</w:t>
            </w:r>
            <w:r>
              <w:rPr>
                <w:rFonts w:hint="eastAsia" w:ascii="仿宋_GB2312" w:hAnsi="仿宋_GB2312" w:eastAsia="仿宋_GB2312" w:cs="仿宋_GB2312"/>
              </w:rPr>
              <w:t xml:space="preserve">；首任车主3年或10万公里整车质保。（投标人需提供车辆使用说明书或承诺函，并加盖投标单位公章）</w:t>
            </w:r>
            <w:r/>
          </w:p>
        </w:tc>
      </w:tr>
      <w:tr>
        <w:trPr>
          <w:cantSplit/>
          <w:jc w:val="center"/>
          <w:trHeight w:val="407"/>
        </w:trPr>
        <w:tc>
          <w:tcPr>
            <w:tcW w:w="224" w:type="pct"/>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880"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宋体" w:eastAsia="仿宋_GB2312" w:cs="仿宋_GB2312"/>
                <w:sz w:val="21"/>
                <w:szCs w:val="21"/>
              </w:rPr>
              <w:t xml:space="preserve">2.变速系统：混合动力专用变速箱2挡DHT</w:t>
            </w:r>
            <w:r/>
          </w:p>
        </w:tc>
      </w:tr>
      <w:tr>
        <w:trPr>
          <w:cantSplit/>
          <w:jc w:val="center"/>
          <w:trHeight w:val="462"/>
        </w:trPr>
        <w:tc>
          <w:tcPr>
            <w:tcW w:w="224" w:type="pct"/>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880"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宋体" w:eastAsia="仿宋_GB2312" w:cs="仿宋_GB2312"/>
                <w:sz w:val="21"/>
                <w:szCs w:val="21"/>
              </w:rPr>
              <w:t xml:space="preserve">3.</w:t>
            </w:r>
            <w:r>
              <w:rPr>
                <w:rFonts w:hint="eastAsia" w:ascii="仿宋_GB2312" w:hAnsi="宋体" w:eastAsia="仿宋_GB2312"/>
                <w:sz w:val="21"/>
                <w:szCs w:val="21"/>
              </w:rPr>
              <w:t xml:space="preserve">悬架：前麦弗逊式独立悬挂/后扭力梁式悬挂</w:t>
            </w:r>
            <w:r/>
          </w:p>
        </w:tc>
      </w:tr>
      <w:tr>
        <w:trPr>
          <w:cantSplit/>
          <w:jc w:val="center"/>
          <w:trHeight w:val="375"/>
        </w:trPr>
        <w:tc>
          <w:tcPr>
            <w:tcW w:w="224" w:type="pct"/>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880" w:type="pct"/>
            <w:vAlign w:val="center"/>
            <w:textDirection w:val="lrTb"/>
            <w:noWrap w:val="false"/>
          </w:tcPr>
          <w:p>
            <w:pPr>
              <w:pStyle w:val="1019"/>
              <w:jc w:val="both"/>
              <w:rPr>
                <w:rFonts w:ascii="仿宋_GB2312" w:hAnsi="宋体" w:eastAsia="仿宋_GB2312" w:cs="宋体"/>
                <w:sz w:val="21"/>
                <w:szCs w:val="21"/>
                <w:shd w:val="clear" w:color="auto" w:fill="ffffff"/>
              </w:rPr>
            </w:pPr>
            <w:r>
              <w:rPr>
                <w:rFonts w:hint="eastAsia" w:ascii="仿宋_GB2312" w:hAnsi="宋体" w:eastAsia="仿宋_GB2312" w:cs="仿宋_GB2312"/>
                <w:sz w:val="21"/>
                <w:szCs w:val="21"/>
              </w:rPr>
              <w:t xml:space="preserve">4.</w:t>
            </w:r>
            <w:r>
              <w:rPr>
                <w:rFonts w:hint="eastAsia" w:ascii="仿宋_GB2312" w:hAnsi="宋体" w:eastAsia="仿宋_GB2312"/>
                <w:sz w:val="21"/>
                <w:szCs w:val="21"/>
              </w:rPr>
              <w:t xml:space="preserve">电池类型：三元锂电池</w:t>
            </w:r>
            <w:r/>
          </w:p>
        </w:tc>
      </w:tr>
      <w:tr>
        <w:trPr>
          <w:cantSplit/>
          <w:jc w:val="center"/>
          <w:trHeight w:val="680"/>
        </w:trPr>
        <w:tc>
          <w:tcPr>
            <w:tcW w:w="224" w:type="pct"/>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880" w:type="pct"/>
            <w:vAlign w:val="center"/>
            <w:textDirection w:val="lrTb"/>
            <w:noWrap w:val="false"/>
          </w:tcPr>
          <w:p>
            <w:pPr>
              <w:jc w:val="left"/>
              <w:widowControl/>
              <w:rPr>
                <w:rFonts w:ascii="仿宋_GB2312" w:hAnsi="宋体" w:eastAsia="仿宋_GB2312"/>
              </w:rPr>
            </w:pPr>
            <w:r>
              <w:rPr>
                <w:rFonts w:hint="eastAsia" w:ascii="仿宋_GB2312" w:hAnsi="宋体" w:eastAsia="仿宋_GB2312"/>
              </w:rPr>
              <w:t xml:space="preserve">5.安全配置：前排正面双SRS安全气囊、前排侧安全气囊、贯穿式侧安全气帘、TPMS胎压监测系统、博士集成式制动电控系统、后倒车雷达</w:t>
            </w:r>
            <w:r/>
          </w:p>
        </w:tc>
      </w:tr>
      <w:tr>
        <w:trPr>
          <w:cantSplit/>
          <w:jc w:val="center"/>
          <w:trHeight w:val="1004"/>
        </w:trPr>
        <w:tc>
          <w:tcPr>
            <w:tcW w:w="224" w:type="pct"/>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06"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90" w:type="pct"/>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880" w:type="pct"/>
            <w:vAlign w:val="center"/>
            <w:textDirection w:val="lrTb"/>
            <w:noWrap w:val="false"/>
          </w:tcPr>
          <w:p>
            <w:pPr>
              <w:jc w:val="left"/>
              <w:widowControl/>
              <w:rPr>
                <w:rFonts w:ascii="仿宋_GB2312" w:hAnsi="宋体" w:eastAsia="仿宋_GB2312"/>
              </w:rPr>
            </w:pPr>
            <w:r>
              <w:rPr>
                <w:rFonts w:hint="eastAsia" w:ascii="仿宋_GB2312" w:hAnsi="宋体" w:eastAsia="仿宋_GB2312"/>
              </w:rPr>
              <w:t xml:space="preserve">6.基础配置：双侧手动侧滑门、LED前大灯、双温区自动空调 、后视镜折叠加热、540°高清全景影像（含透明底盘）、数字液晶仪表、高清中控触控显示屏、无钥匙进入及一键启动等。</w:t>
            </w:r>
            <w:r/>
          </w:p>
        </w:tc>
      </w:tr>
    </w:tbl>
    <w:p>
      <w:pPr>
        <w:pStyle w:val="1016"/>
      </w:pPr>
      <w:r/>
      <w:r/>
    </w:p>
    <w:p>
      <w:pP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（2）、分包2：新能源小型客车4辆</w:t>
      </w:r>
      <w:r>
        <w:rPr>
          <w:rFonts w:hint="eastAsia" w:ascii="仿宋_GB2312" w:hAnsi="仿宋_GB2312" w:eastAsia="仿宋_GB2312" w:cs="仿宋_GB2312"/>
          <w:b/>
          <w:bCs/>
          <w:sz w:val="28"/>
          <w:szCs w:val="28"/>
          <w:lang w:val="en"/>
        </w:rPr>
        <w:t xml:space="preserve">（公务用车）</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28"/>
        <w:gridCol w:w="848"/>
        <w:gridCol w:w="579"/>
        <w:gridCol w:w="6341"/>
      </w:tblGrid>
      <w:tr>
        <w:trPr>
          <w:jc w:val="center"/>
          <w:trHeight w:val="357"/>
        </w:trPr>
        <w:tc>
          <w:tcPr>
            <w:shd w:val="clear" w:color="auto" w:fill="ffffff"/>
            <w:tcMar>
              <w:left w:w="15" w:type="dxa"/>
              <w:top w:w="15" w:type="dxa"/>
              <w:right w:w="15" w:type="dxa"/>
              <w:bottom w:w="15" w:type="dxa"/>
            </w:tcMar>
            <w:tcW w:w="318"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序号</w:t>
            </w:r>
            <w:r/>
          </w:p>
        </w:tc>
        <w:tc>
          <w:tcPr>
            <w:shd w:val="clear" w:color="auto" w:fill="ffffff"/>
            <w:tcMar>
              <w:left w:w="15" w:type="dxa"/>
              <w:top w:w="15" w:type="dxa"/>
              <w:right w:w="15" w:type="dxa"/>
              <w:bottom w:w="15" w:type="dxa"/>
            </w:tcMar>
            <w:tcW w:w="511"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采购项 名称</w:t>
            </w:r>
            <w:r/>
          </w:p>
        </w:tc>
        <w:tc>
          <w:tcPr>
            <w:shd w:val="clear" w:color="auto" w:fill="ffffff"/>
            <w:tcMar>
              <w:left w:w="15" w:type="dxa"/>
              <w:top w:w="15" w:type="dxa"/>
              <w:right w:w="15" w:type="dxa"/>
              <w:bottom w:w="15" w:type="dxa"/>
            </w:tcMar>
            <w:tcW w:w="349"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数量</w:t>
            </w:r>
            <w:r/>
          </w:p>
        </w:tc>
        <w:tc>
          <w:tcPr>
            <w:shd w:val="clear" w:color="auto" w:fill="ffffff"/>
            <w:tcMar>
              <w:left w:w="15" w:type="dxa"/>
              <w:top w:w="15" w:type="dxa"/>
              <w:right w:w="15" w:type="dxa"/>
              <w:bottom w:w="15" w:type="dxa"/>
            </w:tcMar>
            <w:tcW w:w="3822"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技术要求  </w:t>
            </w:r>
            <w:r/>
          </w:p>
        </w:tc>
      </w:tr>
      <w:tr>
        <w:trPr>
          <w:cantSplit/>
          <w:jc w:val="center"/>
          <w:trHeight w:val="2091"/>
        </w:trPr>
        <w:tc>
          <w:tcPr>
            <w:shd w:val="clear" w:color="auto" w:fill="ffffff"/>
            <w:tcMar>
              <w:left w:w="15" w:type="dxa"/>
              <w:top w:w="15" w:type="dxa"/>
              <w:right w:w="15" w:type="dxa"/>
              <w:bottom w:w="15" w:type="dxa"/>
            </w:tcMar>
            <w:tcW w:w="318"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511" w:type="pct"/>
            <w:vAlign w:val="center"/>
            <w:vMerge w:val="restart"/>
            <w:textDirection w:val="lrTb"/>
            <w:noWrap w:val="false"/>
          </w:tcPr>
          <w:p>
            <w:pPr>
              <w:jc w:val="left"/>
              <w:widowControl/>
              <w:rPr>
                <w:rFonts w:ascii="仿宋_GB2312" w:hAnsi="仿宋_GB2312" w:eastAsia="仿宋_GB2312" w:cs="仿宋_GB2312"/>
              </w:rPr>
            </w:pPr>
            <w:r>
              <w:rPr>
                <w:rFonts w:hint="eastAsia" w:ascii="仿宋_GB2312" w:hAnsi="仿宋_GB2312" w:eastAsia="仿宋_GB2312" w:cs="仿宋_GB2312"/>
                <w:b/>
                <w:bCs/>
              </w:rPr>
              <w:t xml:space="preserve">新能源小型轿车（最高限价18万元/辆）</w:t>
            </w:r>
            <w:r/>
          </w:p>
        </w:tc>
        <w:tc>
          <w:tcPr>
            <w:shd w:val="clear" w:color="auto" w:fill="ffffff"/>
            <w:tcMar>
              <w:left w:w="15" w:type="dxa"/>
              <w:top w:w="15" w:type="dxa"/>
              <w:right w:w="15" w:type="dxa"/>
              <w:bottom w:w="15" w:type="dxa"/>
            </w:tcMar>
            <w:tcW w:w="349"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4</w:t>
            </w:r>
            <w:r/>
          </w:p>
        </w:tc>
        <w:tc>
          <w:tcPr>
            <w:shd w:val="clear" w:color="auto" w:fill="ffffff"/>
            <w:tcMar>
              <w:left w:w="15" w:type="dxa"/>
              <w:top w:w="15" w:type="dxa"/>
              <w:right w:w="15" w:type="dxa"/>
              <w:bottom w:w="15" w:type="dxa"/>
            </w:tcMar>
            <w:tcW w:w="3822" w:type="pct"/>
            <w:vAlign w:val="center"/>
            <w:textDirection w:val="lrTb"/>
            <w:noWrap w:val="false"/>
          </w:tcPr>
          <w:p>
            <w:pPr>
              <w:jc w:val="left"/>
              <w:widowControl/>
              <w:rPr>
                <w:rFonts w:ascii="仿宋_GB2312" w:hAnsi="宋体" w:eastAsia="仿宋_GB2312" w:cs="宋体"/>
              </w:rPr>
            </w:pPr>
            <w:r>
              <w:rPr>
                <w:rFonts w:hint="eastAsia" w:ascii="仿宋_GB2312" w:hAnsi="仿宋_GB2312" w:eastAsia="仿宋_GB2312" w:cs="仿宋_GB2312"/>
              </w:rPr>
              <w:t xml:space="preserve">★1.能源类型：新能源（</w:t>
            </w:r>
            <w:r>
              <w:rPr>
                <w:rFonts w:hint="eastAsia" w:ascii="仿宋_GB2312" w:hAnsi="宋体" w:eastAsia="仿宋_GB2312"/>
              </w:rPr>
              <w:t xml:space="preserve">插电式混合动力</w:t>
            </w:r>
            <w:r>
              <w:rPr>
                <w:rFonts w:hint="eastAsia" w:ascii="仿宋_GB2312" w:hAnsi="仿宋_GB2312" w:eastAsia="仿宋_GB2312" w:cs="仿宋_GB2312"/>
              </w:rPr>
              <w:t xml:space="preserve">）；车身结构：四门五座；车身长度（mm）：</w:t>
            </w:r>
            <w:r>
              <w:rPr>
                <w:rFonts w:hint="eastAsia" w:ascii="仿宋_GB2312" w:hAnsi="宋体" w:eastAsia="仿宋_GB2312"/>
              </w:rPr>
              <w:t xml:space="preserve">4940≤长度≤4995；</w:t>
            </w:r>
            <w:r>
              <w:rPr>
                <w:rFonts w:hint="eastAsia" w:ascii="仿宋_GB2312" w:hAnsi="仿宋_GB2312" w:eastAsia="仿宋_GB2312" w:cs="仿宋_GB2312"/>
              </w:rPr>
              <w:t xml:space="preserve">车身宽度（mm）：1830</w:t>
            </w:r>
            <w:r>
              <w:rPr>
                <w:rFonts w:hint="eastAsia" w:ascii="仿宋_GB2312" w:hAnsi="宋体" w:eastAsia="仿宋_GB2312"/>
              </w:rPr>
              <w:t xml:space="preserve">≤宽度≤1910；</w:t>
            </w:r>
            <w:r>
              <w:rPr>
                <w:rFonts w:hint="eastAsia" w:ascii="仿宋_GB2312" w:hAnsi="仿宋_GB2312" w:eastAsia="仿宋_GB2312" w:cs="仿宋_GB2312"/>
              </w:rPr>
              <w:t xml:space="preserve">车身高度（mm）：1460</w:t>
            </w:r>
            <w:r>
              <w:rPr>
                <w:rFonts w:hint="eastAsia" w:ascii="仿宋_GB2312" w:hAnsi="宋体" w:eastAsia="仿宋_GB2312"/>
              </w:rPr>
              <w:t xml:space="preserve">≤高度≤1495；</w:t>
            </w:r>
            <w:r>
              <w:rPr>
                <w:rFonts w:hint="eastAsia" w:ascii="仿宋_GB2312" w:hAnsi="仿宋_GB2312" w:eastAsia="仿宋_GB2312" w:cs="仿宋_GB2312"/>
              </w:rPr>
              <w:t xml:space="preserve">轴距(mm):2870</w:t>
            </w:r>
            <w:r>
              <w:rPr>
                <w:rFonts w:hint="eastAsia" w:ascii="仿宋_GB2312" w:hAnsi="宋体" w:eastAsia="仿宋_GB2312"/>
              </w:rPr>
              <w:t xml:space="preserve">≤轴距≤2920；</w:t>
            </w:r>
            <w:r>
              <w:rPr>
                <w:rFonts w:hint="eastAsia" w:ascii="仿宋_GB2312" w:hAnsi="仿宋_GB2312" w:eastAsia="仿宋_GB2312" w:cs="仿宋_GB2312"/>
              </w:rPr>
              <w:t xml:space="preserve">发动机型式：</w:t>
            </w:r>
            <w:r>
              <w:rPr>
                <w:rFonts w:hint="eastAsia" w:ascii="仿宋_GB2312" w:hAnsi="宋体" w:eastAsia="仿宋_GB2312"/>
              </w:rPr>
              <w:t xml:space="preserve">≥</w:t>
            </w:r>
            <w:r>
              <w:rPr>
                <w:rFonts w:hint="eastAsia" w:ascii="仿宋_GB2312" w:hAnsi="仿宋_GB2312" w:eastAsia="仿宋_GB2312" w:cs="仿宋_GB2312"/>
              </w:rPr>
              <w:t xml:space="preserve">1.4T涡轮增压缸内直喷汽油发动机；排量（ml）：</w:t>
            </w:r>
            <w:r>
              <w:rPr>
                <w:rFonts w:hint="eastAsia" w:ascii="仿宋_GB2312" w:hAnsi="宋体" w:eastAsia="仿宋_GB2312"/>
              </w:rPr>
              <w:t xml:space="preserve">≥</w:t>
            </w:r>
            <w:r>
              <w:rPr>
                <w:rFonts w:hint="eastAsia" w:ascii="仿宋_GB2312" w:hAnsi="仿宋_GB2312" w:eastAsia="仿宋_GB2312" w:cs="仿宋_GB2312"/>
              </w:rPr>
              <w:t xml:space="preserve">1390；发动机最大功率（kW）≥110；</w:t>
            </w:r>
            <w:r>
              <w:rPr>
                <w:rFonts w:hint="eastAsia" w:ascii="仿宋_GB2312" w:hAnsi="仿宋_GB2312" w:eastAsia="仿宋_GB2312" w:cs="仿宋_GB2312"/>
                <w:b/>
              </w:rPr>
              <w:t xml:space="preserve">整车质保</w:t>
            </w:r>
            <w:r>
              <w:rPr>
                <w:rFonts w:hint="eastAsia" w:ascii="仿宋_GB2312" w:hAnsi="仿宋_GB2312" w:eastAsia="仿宋_GB2312" w:cs="仿宋_GB2312"/>
              </w:rPr>
              <w:t xml:space="preserve">：车辆三电系统终身保修(首任车主)，整车包修期6年或15万公里。（投标人需提供车辆使用说明书或承诺函，并加盖投标单位公章）</w:t>
            </w:r>
            <w:r/>
          </w:p>
        </w:tc>
      </w:tr>
      <w:tr>
        <w:trPr>
          <w:cantSplit/>
          <w:jc w:val="center"/>
          <w:trHeight w:val="414"/>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仿宋_GB2312" w:eastAsia="仿宋_GB2312" w:cs="仿宋_GB2312"/>
                <w:sz w:val="21"/>
                <w:szCs w:val="21"/>
              </w:rPr>
              <w:t xml:space="preserve">2. 发动机最大扭矩（</w:t>
            </w:r>
            <w:r>
              <w:rPr>
                <w:rFonts w:hint="eastAsia" w:ascii="仿宋_GB2312" w:hAnsi="仿宋_GB2312" w:eastAsia="仿宋_GB2312" w:cs="仿宋_GB2312"/>
                <w:sz w:val="21"/>
                <w:szCs w:val="21"/>
              </w:rPr>
              <w:t xml:space="preserve">N.m</w:t>
            </w:r>
            <w:r>
              <w:rPr>
                <w:rFonts w:hint="eastAsia" w:ascii="仿宋_GB2312" w:hAnsi="仿宋_GB2312" w:eastAsia="仿宋_GB2312" w:cs="仿宋_GB2312"/>
                <w:sz w:val="21"/>
                <w:szCs w:val="21"/>
              </w:rPr>
              <w:t xml:space="preserve">）≥225。</w:t>
            </w:r>
            <w:r/>
          </w:p>
        </w:tc>
      </w:tr>
      <w:tr>
        <w:trPr>
          <w:cantSplit/>
          <w:jc w:val="center"/>
          <w:trHeight w:val="311"/>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宋体" w:eastAsia="仿宋_GB2312" w:cs="宋体"/>
                <w:sz w:val="21"/>
                <w:szCs w:val="21"/>
                <w:shd w:val="clear" w:color="auto" w:fill="ffffff"/>
              </w:rPr>
            </w:pPr>
            <w:r>
              <w:rPr>
                <w:rFonts w:hint="eastAsia" w:ascii="仿宋_GB2312" w:hAnsi="仿宋_GB2312" w:eastAsia="仿宋_GB2312" w:cs="仿宋_GB2312"/>
                <w:sz w:val="21"/>
                <w:szCs w:val="21"/>
              </w:rPr>
              <w:t xml:space="preserve">3.</w:t>
            </w:r>
            <w:r>
              <w:rPr>
                <w:rFonts w:hint="eastAsia" w:ascii="仿宋_GB2312" w:hAnsi="宋体" w:eastAsia="仿宋_GB2312" w:cs="宋体"/>
                <w:sz w:val="21"/>
                <w:szCs w:val="21"/>
              </w:rPr>
              <w:t xml:space="preserve"> </w:t>
            </w:r>
            <w:r>
              <w:rPr>
                <w:rFonts w:hint="eastAsia" w:ascii="仿宋_GB2312" w:hAnsi="仿宋_GB2312" w:eastAsia="仿宋_GB2312" w:cs="仿宋_GB2312"/>
                <w:sz w:val="21"/>
                <w:szCs w:val="21"/>
              </w:rPr>
              <w:t xml:space="preserve">电机类型：永磁同步电机或单电机插电混动</w:t>
            </w:r>
            <w:r/>
          </w:p>
        </w:tc>
      </w:tr>
      <w:tr>
        <w:trPr>
          <w:cantSplit/>
          <w:jc w:val="center"/>
          <w:trHeight w:val="347"/>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925"/>
              <w:ind w:left="840" w:hanging="420"/>
              <w:rPr>
                <w:rFonts w:ascii="仿宋_GB2312" w:hAnsi="宋体" w:eastAsia="仿宋_GB2312" w:cs="宋体"/>
              </w:rPr>
            </w:pPr>
            <w:r>
              <w:rPr>
                <w:rFonts w:hint="eastAsia" w:ascii="仿宋_GB2312" w:hAnsi="仿宋_GB2312" w:eastAsia="仿宋_GB2312" w:cs="仿宋_GB2312"/>
                <w:sz w:val="21"/>
                <w:szCs w:val="21"/>
              </w:rPr>
              <w:t xml:space="preserve">4. 电池类型：磷酸铁锂电池或三元锂电池，</w:t>
            </w:r>
            <w:r/>
          </w:p>
        </w:tc>
      </w:tr>
      <w:tr>
        <w:trPr>
          <w:cantSplit/>
          <w:jc w:val="center"/>
          <w:trHeight w:val="337"/>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仿宋_GB2312" w:eastAsia="仿宋_GB2312" w:cs="仿宋_GB2312"/>
                <w:sz w:val="21"/>
                <w:szCs w:val="21"/>
              </w:rPr>
              <w:t xml:space="preserve">5. </w:t>
            </w:r>
            <w:r>
              <w:rPr>
                <w:rFonts w:hint="eastAsia" w:ascii="仿宋_GB2312" w:hAnsi="仿宋_GB2312" w:eastAsia="仿宋_GB2312" w:cs="仿宋_GB2312"/>
                <w:sz w:val="22"/>
                <w:szCs w:val="28"/>
              </w:rPr>
              <w:t xml:space="preserve">CLTC</w:t>
            </w:r>
            <w:r>
              <w:rPr>
                <w:rFonts w:hint="eastAsia" w:ascii="仿宋_GB2312" w:hAnsi="仿宋_GB2312" w:eastAsia="仿宋_GB2312" w:cs="仿宋_GB2312"/>
                <w:sz w:val="21"/>
                <w:szCs w:val="21"/>
              </w:rPr>
              <w:t xml:space="preserve">综合工况纯电续驶里程（km）：≥60</w:t>
            </w:r>
            <w:r/>
          </w:p>
        </w:tc>
      </w:tr>
      <w:tr>
        <w:trPr>
          <w:cantSplit/>
          <w:jc w:val="center"/>
          <w:trHeight w:val="304"/>
        </w:trPr>
        <w:tc>
          <w:tcPr>
            <w:tcW w:w="318"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宋体" w:eastAsia="仿宋_GB2312"/>
                <w:sz w:val="21"/>
                <w:szCs w:val="21"/>
              </w:rPr>
            </w:pPr>
            <w:r>
              <w:rPr>
                <w:rFonts w:hint="eastAsia" w:ascii="仿宋_GB2312" w:hAnsi="仿宋_GB2312" w:eastAsia="仿宋_GB2312" w:cs="仿宋_GB2312"/>
                <w:sz w:val="21"/>
                <w:szCs w:val="21"/>
              </w:rPr>
              <w:t xml:space="preserve">6、环保标准：国Ⅵ</w:t>
            </w:r>
            <w:r/>
          </w:p>
        </w:tc>
      </w:tr>
      <w:tr>
        <w:trPr>
          <w:cantSplit/>
          <w:jc w:val="center"/>
          <w:trHeight w:val="377"/>
        </w:trPr>
        <w:tc>
          <w:tcPr>
            <w:tcW w:w="318"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7、制动及悬架：盘式制动器/前麦弗逊后多摆臂独立</w:t>
            </w:r>
            <w:r/>
          </w:p>
        </w:tc>
      </w:tr>
      <w:tr>
        <w:trPr>
          <w:cantSplit/>
          <w:jc w:val="center"/>
          <w:trHeight w:val="378"/>
        </w:trPr>
        <w:tc>
          <w:tcPr>
            <w:tcW w:w="318"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8、安全装备：ESP/EPB/MKB防碰撞缓解制动系统</w:t>
            </w:r>
            <w:r/>
          </w:p>
        </w:tc>
      </w:tr>
      <w:tr>
        <w:trPr>
          <w:cantSplit/>
          <w:jc w:val="center"/>
          <w:trHeight w:val="437"/>
        </w:trPr>
        <w:tc>
          <w:tcPr>
            <w:tcW w:w="318" w:type="pct"/>
            <w:vAlign w:val="center"/>
            <w:vMerge w:val="continue"/>
            <w:textDirection w:val="lrTb"/>
            <w:noWrap w:val="false"/>
          </w:tcPr>
          <w:p>
            <w:pPr>
              <w:pStyle w:val="1022"/>
              <w:rPr>
                <w:rFonts w:ascii="仿宋_GB2312" w:eastAsia="仿宋_GB2312"/>
                <w:sz w:val="21"/>
                <w:szCs w:val="21"/>
              </w:rPr>
            </w:pPr>
            <w:r>
              <w:rPr>
                <w:rFonts w:ascii="仿宋_GB2312" w:eastAsia="仿宋_GB2312"/>
                <w:sz w:val="21"/>
                <w:szCs w:val="21"/>
              </w:rPr>
            </w:r>
            <w:r/>
          </w:p>
        </w:tc>
        <w:tc>
          <w:tcPr>
            <w:tcW w:w="51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49"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822"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9、智能网联系统：高级智能多媒体交互系统</w:t>
            </w:r>
            <w:r/>
          </w:p>
        </w:tc>
      </w:tr>
    </w:tbl>
    <w:p>
      <w:pPr>
        <w:jc w:val="left"/>
        <w:spacing w:line="4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jc w:val="left"/>
        <w:spacing w:line="40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（3）、分包3：新能源小型客车6辆（公务用车）</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86"/>
        <w:gridCol w:w="937"/>
        <w:gridCol w:w="773"/>
        <w:gridCol w:w="6000"/>
      </w:tblGrid>
      <w:tr>
        <w:trPr>
          <w:jc w:val="center"/>
          <w:trHeight w:val="286"/>
        </w:trPr>
        <w:tc>
          <w:tcPr>
            <w:shd w:val="clear" w:color="auto" w:fill="ffffff"/>
            <w:tcMar>
              <w:left w:w="15" w:type="dxa"/>
              <w:top w:w="15" w:type="dxa"/>
              <w:right w:w="15" w:type="dxa"/>
              <w:bottom w:w="15" w:type="dxa"/>
            </w:tcMar>
            <w:tcW w:w="353"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序号</w:t>
            </w:r>
            <w:r/>
          </w:p>
        </w:tc>
        <w:tc>
          <w:tcPr>
            <w:shd w:val="clear" w:color="auto" w:fill="ffffff"/>
            <w:tcMar>
              <w:left w:w="15" w:type="dxa"/>
              <w:top w:w="15" w:type="dxa"/>
              <w:right w:w="15" w:type="dxa"/>
              <w:bottom w:w="15" w:type="dxa"/>
            </w:tcMar>
            <w:tcW w:w="565"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采购项 名称</w:t>
            </w:r>
            <w:r/>
          </w:p>
        </w:tc>
        <w:tc>
          <w:tcPr>
            <w:shd w:val="clear" w:color="auto" w:fill="ffffff"/>
            <w:tcMar>
              <w:left w:w="15" w:type="dxa"/>
              <w:top w:w="15" w:type="dxa"/>
              <w:right w:w="15" w:type="dxa"/>
              <w:bottom w:w="15" w:type="dxa"/>
            </w:tcMar>
            <w:tcW w:w="466"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数量</w:t>
            </w:r>
            <w:r/>
          </w:p>
        </w:tc>
        <w:tc>
          <w:tcPr>
            <w:shd w:val="clear" w:color="auto" w:fill="ffffff"/>
            <w:tcMar>
              <w:left w:w="15" w:type="dxa"/>
              <w:top w:w="15" w:type="dxa"/>
              <w:right w:w="15" w:type="dxa"/>
              <w:bottom w:w="15" w:type="dxa"/>
            </w:tcMar>
            <w:tcW w:w="3617"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技术要求</w:t>
            </w:r>
            <w:r/>
          </w:p>
        </w:tc>
      </w:tr>
      <w:tr>
        <w:trPr>
          <w:cantSplit/>
          <w:jc w:val="center"/>
          <w:trHeight w:val="1660"/>
        </w:trPr>
        <w:tc>
          <w:tcPr>
            <w:shd w:val="clear" w:color="auto" w:fill="ffffff"/>
            <w:tcMar>
              <w:left w:w="15" w:type="dxa"/>
              <w:top w:w="15" w:type="dxa"/>
              <w:right w:w="15" w:type="dxa"/>
              <w:bottom w:w="15" w:type="dxa"/>
            </w:tcMar>
            <w:tcW w:w="353" w:type="pct"/>
            <w:vAlign w:val="center"/>
            <w:vMerge w:val="restart"/>
            <w:textDirection w:val="lrTb"/>
            <w:noWrap w:val="false"/>
          </w:tcPr>
          <w:p>
            <w:pPr>
              <w:ind w:firstLine="420"/>
              <w:jc w:val="left"/>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565" w:type="pct"/>
            <w:vAlign w:val="center"/>
            <w:vMerge w:val="restart"/>
            <w:textDirection w:val="lrTb"/>
            <w:noWrap w:val="false"/>
          </w:tcPr>
          <w:p>
            <w:pPr>
              <w:jc w:val="left"/>
              <w:widowControl/>
              <w:rPr>
                <w:rFonts w:ascii="仿宋_GB2312" w:hAnsi="仿宋_GB2312" w:eastAsia="仿宋_GB2312" w:cs="仿宋_GB2312"/>
              </w:rPr>
            </w:pPr>
            <w:r>
              <w:rPr>
                <w:rFonts w:hint="eastAsia" w:ascii="仿宋_GB2312" w:hAnsi="仿宋_GB2312" w:eastAsia="仿宋_GB2312" w:cs="仿宋_GB2312"/>
                <w:b/>
                <w:bCs/>
              </w:rPr>
              <w:t xml:space="preserve">新能源小型轿车（最高限价18万元/辆）</w:t>
            </w:r>
            <w:r/>
          </w:p>
        </w:tc>
        <w:tc>
          <w:tcPr>
            <w:shd w:val="clear" w:color="auto" w:fill="ffffff"/>
            <w:tcMar>
              <w:left w:w="15" w:type="dxa"/>
              <w:top w:w="15" w:type="dxa"/>
              <w:right w:w="15" w:type="dxa"/>
              <w:bottom w:w="15" w:type="dxa"/>
            </w:tcMar>
            <w:tcW w:w="466"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6</w:t>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宋体" w:eastAsia="仿宋_GB2312" w:cs="宋体"/>
              </w:rPr>
            </w:pPr>
            <w:r>
              <w:rPr>
                <w:rFonts w:hint="eastAsia" w:ascii="仿宋_GB2312" w:hAnsi="仿宋_GB2312" w:eastAsia="仿宋_GB2312" w:cs="仿宋_GB2312"/>
                <w:sz w:val="21"/>
                <w:szCs w:val="21"/>
              </w:rPr>
              <w:t xml:space="preserve">★1.能源类型：新能源（插电式混合动力）；车身结构：四门五座；车身长度（mm）：4980≤长度≤4990；车身宽度（mm）：1875≤宽度≤1900；车身高度（mm）：1500；轴距(mm):2920；发动机型式：≥1.5T 混动专用发动机；</w:t>
            </w:r>
            <w:r>
              <w:rPr>
                <w:rFonts w:hint="eastAsia" w:ascii="仿宋_GB2312" w:hAnsi="仿宋_GB2312" w:eastAsia="仿宋_GB2312" w:cs="仿宋_GB2312"/>
                <w:sz w:val="22"/>
                <w:szCs w:val="28"/>
              </w:rPr>
              <w:t xml:space="preserve">CLTC</w:t>
            </w:r>
            <w:r>
              <w:rPr>
                <w:rFonts w:hint="eastAsia" w:ascii="仿宋_GB2312" w:hAnsi="仿宋_GB2312" w:eastAsia="仿宋_GB2312" w:cs="仿宋_GB2312"/>
                <w:sz w:val="21"/>
                <w:szCs w:val="21"/>
              </w:rPr>
              <w:t xml:space="preserve">纯电续航里程（km）≥130；综合续航里程（km）≥1560；整车质保：非营运车辆三电系统终身保修(首任车主)，整车包修期5年或15万公里。（投标人需提供车辆使用说明书或承诺函并加盖投标单位公章）</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2. 发动机型式：永磁同步电机</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仿宋_GB2312" w:eastAsia="仿宋_GB2312" w:cs="仿宋_GB2312"/>
                <w:sz w:val="21"/>
                <w:szCs w:val="21"/>
              </w:rPr>
              <w:t xml:space="preserve">3.</w:t>
            </w:r>
            <w:r>
              <w:rPr>
                <w:rFonts w:hint="eastAsia" w:ascii="仿宋_GB2312" w:hAnsi="宋体" w:eastAsia="仿宋_GB2312" w:cs="宋体"/>
                <w:sz w:val="21"/>
                <w:szCs w:val="21"/>
              </w:rPr>
              <w:t xml:space="preserve"> </w:t>
            </w:r>
            <w:r>
              <w:rPr>
                <w:rFonts w:hint="eastAsia" w:ascii="仿宋_GB2312" w:hAnsi="仿宋_GB2312" w:eastAsia="仿宋_GB2312" w:cs="仿宋_GB2312"/>
                <w:sz w:val="21"/>
                <w:szCs w:val="21"/>
              </w:rPr>
              <w:t xml:space="preserve">发动机最大扭矩（</w:t>
            </w:r>
            <w:r>
              <w:rPr>
                <w:rFonts w:hint="eastAsia" w:ascii="仿宋_GB2312" w:hAnsi="仿宋_GB2312" w:eastAsia="仿宋_GB2312" w:cs="仿宋_GB2312"/>
                <w:sz w:val="21"/>
                <w:szCs w:val="21"/>
              </w:rPr>
              <w:t xml:space="preserve">N.m</w:t>
            </w:r>
            <w:r>
              <w:rPr>
                <w:rFonts w:hint="eastAsia" w:ascii="仿宋_GB2312" w:hAnsi="仿宋_GB2312" w:eastAsia="仿宋_GB2312" w:cs="仿宋_GB2312"/>
                <w:sz w:val="21"/>
                <w:szCs w:val="21"/>
              </w:rPr>
              <w:t xml:space="preserve">）≥225</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numPr>
                <w:ilvl w:val="0"/>
                <w:numId w:val="12"/>
              </w:numPr>
              <w:jc w:val="left"/>
              <w:spacing w:after="160" w:line="278" w:lineRule="auto"/>
              <w:widowControl/>
              <w:rPr>
                <w:rFonts w:ascii="仿宋_GB2312" w:hAnsi="仿宋_GB2312" w:eastAsia="仿宋_GB2312" w:cs="仿宋_GB2312"/>
              </w:rPr>
            </w:pPr>
            <w:r>
              <w:rPr>
                <w:rFonts w:hint="eastAsia" w:ascii="仿宋_GB2312" w:hAnsi="仿宋_GB2312" w:eastAsia="仿宋_GB2312" w:cs="仿宋_GB2312"/>
              </w:rPr>
              <w:t xml:space="preserve">发动机最大功率（kW）：≥110</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numPr>
                <w:ilvl w:val="0"/>
                <w:numId w:val="12"/>
              </w:numPr>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电机最大功率（kW）≥168</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6、环保标准：国VI b</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7、制动及悬架：主动刹车系统</w:t>
            </w:r>
            <w:r>
              <w:rPr>
                <w:rFonts w:hint="eastAsia" w:ascii="仿宋_GB2312" w:hAnsi="仿宋_GB2312" w:eastAsia="仿宋_GB2312" w:cs="仿宋_GB2312"/>
                <w:sz w:val="21"/>
                <w:szCs w:val="21"/>
              </w:rPr>
              <w:br/>
              <w:t xml:space="preserve">悬架：前：麦弗逊式独立悬架，后：多连杆式独立悬架</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8、安全装备：前/后排头部气帘，前排侧气囊，后排侧气囊，驾驶员膝部气囊，前驻车雷达，后驻车雷达，倒车影像，全速自适应巡航，车道居中保持，前碰撞预警系统，主动刹车系统，车道偏离预警系统，车道保持辅助系统，道路交通标识识别，疲劳监测系统，胎压显示</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9、智能网联系统：智联网系统：车联网，车载WIFI,手机远程控制，智能语音交互系统，E-CALL紧急救援，在线导航，在线电台，在线视频，在线音乐，驾驶助手。</w:t>
            </w:r>
            <w:r/>
          </w:p>
        </w:tc>
      </w:tr>
      <w:tr>
        <w:trPr>
          <w:cantSplit/>
          <w:jc w:val="center"/>
          <w:trHeight w:val="286"/>
        </w:trPr>
        <w:tc>
          <w:tcPr>
            <w:tcW w:w="35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65"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66"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617" w:type="pct"/>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lang w:val="en"/>
              </w:rPr>
              <w:t xml:space="preserve">1</w:t>
            </w:r>
            <w:r>
              <w:rPr>
                <w:rFonts w:hint="eastAsia" w:ascii="仿宋_GB2312" w:hAnsi="仿宋_GB2312" w:eastAsia="仿宋_GB2312" w:cs="仿宋_GB2312"/>
                <w:sz w:val="21"/>
                <w:szCs w:val="21"/>
              </w:rPr>
              <w:t xml:space="preserve">0.其他：全景天窗，自动大灯，智能远近光切换，感应雨刷，声学夹层玻璃，外后视镜电动调节、加热、锁车自动折叠，全液晶仪表，中控大屏，AUTOHOLD动态驻车辅助，40W手机无线充电，253色氛围灯，PM2.5过滤系统，双区自动空调</w:t>
            </w:r>
            <w:r/>
          </w:p>
        </w:tc>
      </w:tr>
    </w:tbl>
    <w:p>
      <w:pPr>
        <w:rPr>
          <w:vanish/>
        </w:rPr>
      </w:pPr>
      <w:r>
        <w:rPr>
          <w:vanish/>
        </w:rPr>
      </w:r>
      <w:r/>
    </w:p>
    <w:p>
      <w:pPr>
        <w:pStyle w:val="1016"/>
      </w:pPr>
      <w:r/>
      <w:r/>
    </w:p>
    <w:p>
      <w:pPr>
        <w:jc w:val="left"/>
        <w:spacing w:line="40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w:t>
      </w:r>
      <w:r>
        <w:rPr>
          <w:rFonts w:hint="eastAsia" w:ascii="仿宋_GB2312" w:hAnsi="仿宋_GB2312" w:eastAsia="仿宋_GB2312" w:cs="仿宋_GB2312"/>
          <w:b/>
          <w:bCs/>
          <w:sz w:val="28"/>
          <w:szCs w:val="28"/>
        </w:rPr>
        <w:t xml:space="preserve">、分包4：大型客车1辆（公务用车）</w:t>
      </w:r>
      <w:r/>
    </w:p>
    <w:tbl>
      <w:tblPr>
        <w:tblpPr w:horzAnchor="page" w:tblpX="1604" w:vertAnchor="text" w:tblpY="686"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00"/>
        <w:gridCol w:w="1030"/>
        <w:gridCol w:w="544"/>
        <w:gridCol w:w="6222"/>
      </w:tblGrid>
      <w:tr>
        <w:trPr>
          <w:trHeight w:val="286"/>
        </w:trPr>
        <w:tc>
          <w:tcPr>
            <w:shd w:val="clear" w:color="auto" w:fill="ffffff"/>
            <w:tcMar>
              <w:left w:w="15" w:type="dxa"/>
              <w:top w:w="15" w:type="dxa"/>
              <w:right w:w="15" w:type="dxa"/>
              <w:bottom w:w="15" w:type="dxa"/>
            </w:tcMar>
            <w:tcW w:w="301" w:type="pct"/>
            <w:vAlign w:val="center"/>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序号</w:t>
            </w:r>
            <w:r/>
          </w:p>
        </w:tc>
        <w:tc>
          <w:tcPr>
            <w:shd w:val="clear" w:color="auto" w:fill="ffffff"/>
            <w:tcMar>
              <w:left w:w="15" w:type="dxa"/>
              <w:top w:w="15" w:type="dxa"/>
              <w:right w:w="15" w:type="dxa"/>
              <w:bottom w:w="15" w:type="dxa"/>
            </w:tcMar>
            <w:tcW w:w="621"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采购项名称</w:t>
            </w:r>
            <w:r/>
          </w:p>
        </w:tc>
        <w:tc>
          <w:tcPr>
            <w:shd w:val="clear" w:color="auto" w:fill="ffffff"/>
            <w:tcMar>
              <w:left w:w="15" w:type="dxa"/>
              <w:top w:w="15" w:type="dxa"/>
              <w:right w:w="15" w:type="dxa"/>
              <w:bottom w:w="15" w:type="dxa"/>
            </w:tcMar>
            <w:tcW w:w="328"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数量</w:t>
            </w:r>
            <w:r/>
          </w:p>
        </w:tc>
        <w:tc>
          <w:tcPr>
            <w:shd w:val="clear" w:color="auto" w:fill="ffffff"/>
            <w:tcMar>
              <w:left w:w="15" w:type="dxa"/>
              <w:top w:w="15" w:type="dxa"/>
              <w:right w:w="15" w:type="dxa"/>
              <w:bottom w:w="15" w:type="dxa"/>
            </w:tcMar>
            <w:tcW w:w="3750"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技术要求</w:t>
            </w:r>
            <w:r/>
          </w:p>
        </w:tc>
      </w:tr>
      <w:tr>
        <w:trPr>
          <w:cantSplit/>
          <w:trHeight w:val="1712"/>
        </w:trPr>
        <w:tc>
          <w:tcPr>
            <w:shd w:val="clear" w:color="auto" w:fill="ffffff"/>
            <w:tcMar>
              <w:left w:w="15" w:type="dxa"/>
              <w:top w:w="15" w:type="dxa"/>
              <w:right w:w="15" w:type="dxa"/>
              <w:bottom w:w="15" w:type="dxa"/>
            </w:tcMar>
            <w:tcW w:w="301" w:type="pct"/>
            <w:vAlign w:val="center"/>
            <w:vMerge w:val="restart"/>
            <w:textDirection w:val="lrTb"/>
            <w:noWrap w:val="false"/>
          </w:tcPr>
          <w:p>
            <w:pPr>
              <w:jc w:val="center"/>
              <w:widowControl/>
              <w:rPr>
                <w:rFonts w:ascii="仿宋_GB2312" w:hAnsi="仿宋_GB2312" w:eastAsia="仿宋_GB2312" w:cs="仿宋_GB2312"/>
                <w:b/>
                <w:bCs/>
              </w:rPr>
            </w:pPr>
            <w:r>
              <w:rPr>
                <w:rFonts w:hint="eastAsia" w:ascii="仿宋_GB2312" w:hAnsi="仿宋_GB2312" w:eastAsia="仿宋_GB2312" w:cs="仿宋_GB2312"/>
                <w:b/>
                <w:bCs/>
              </w:rPr>
              <w:t xml:space="preserve">1</w:t>
            </w:r>
            <w:r/>
          </w:p>
        </w:tc>
        <w:tc>
          <w:tcPr>
            <w:shd w:val="clear" w:color="auto" w:fill="ffffff"/>
            <w:tcMar>
              <w:left w:w="15" w:type="dxa"/>
              <w:top w:w="15" w:type="dxa"/>
              <w:right w:w="15" w:type="dxa"/>
              <w:bottom w:w="15" w:type="dxa"/>
            </w:tcMar>
            <w:tcW w:w="621" w:type="pct"/>
            <w:vAlign w:val="center"/>
            <w:vMerge w:val="restart"/>
            <w:textDirection w:val="lrTb"/>
            <w:noWrap w:val="false"/>
          </w:tcPr>
          <w:p>
            <w:pPr>
              <w:jc w:val="left"/>
              <w:widowControl/>
              <w:rPr>
                <w:rFonts w:ascii="仿宋_GB2312" w:hAnsi="仿宋_GB2312" w:eastAsia="仿宋_GB2312" w:cs="仿宋_GB2312"/>
              </w:rPr>
            </w:pPr>
            <w:r>
              <w:rPr>
                <w:rFonts w:hint="eastAsia" w:ascii="仿宋_GB2312" w:hAnsi="仿宋_GB2312" w:eastAsia="仿宋_GB2312" w:cs="仿宋_GB2312"/>
                <w:b/>
                <w:bCs/>
              </w:rPr>
              <w:t xml:space="preserve">大型客车（最高限价45万元/辆）</w:t>
            </w:r>
            <w:r/>
          </w:p>
        </w:tc>
        <w:tc>
          <w:tcPr>
            <w:shd w:val="clear" w:color="auto" w:fill="ffffff"/>
            <w:tcMar>
              <w:left w:w="15" w:type="dxa"/>
              <w:top w:w="15" w:type="dxa"/>
              <w:right w:w="15" w:type="dxa"/>
              <w:bottom w:w="15" w:type="dxa"/>
            </w:tcMar>
            <w:tcW w:w="328"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1</w:t>
            </w:r>
            <w:r/>
          </w:p>
        </w:tc>
        <w:tc>
          <w:tcPr>
            <w:shd w:val="clear" w:color="auto" w:fill="ffffff"/>
            <w:tcMar>
              <w:left w:w="15" w:type="dxa"/>
              <w:top w:w="15" w:type="dxa"/>
              <w:right w:w="15" w:type="dxa"/>
              <w:bottom w:w="15" w:type="dxa"/>
            </w:tcMar>
            <w:tcW w:w="3750" w:type="pct"/>
            <w:vAlign w:val="center"/>
            <w:textDirection w:val="lrTb"/>
            <w:noWrap w:val="false"/>
          </w:tcPr>
          <w:p>
            <w:pPr>
              <w:spacing w:line="240" w:lineRule="exact"/>
              <w:rPr>
                <w:rFonts w:ascii="仿宋_GB2312" w:hAnsi="仿宋_GB2312" w:cs="仿宋_GB2312"/>
              </w:rPr>
            </w:pPr>
            <w:r>
              <w:rPr>
                <w:rFonts w:hint="eastAsia" w:ascii="仿宋_GB2312" w:hAnsi="仿宋_GB2312" w:eastAsia="仿宋_GB2312" w:cs="仿宋_GB2312"/>
              </w:rPr>
              <w:t xml:space="preserve">★1.燃料：汽油；外形尺寸：6900≤长度≤7</w:t>
            </w:r>
            <w:r>
              <w:rPr>
                <w:rFonts w:ascii="仿宋_GB2312" w:hAnsi="仿宋_GB2312" w:eastAsia="仿宋_GB2312" w:cs="仿宋_GB2312"/>
                <w:lang w:val="en"/>
              </w:rPr>
              <w:t xml:space="preserve">30</w:t>
            </w:r>
            <w:r>
              <w:rPr>
                <w:rFonts w:hint="eastAsia" w:ascii="仿宋_GB2312" w:hAnsi="仿宋_GB2312" w:eastAsia="仿宋_GB2312" w:cs="仿宋_GB2312"/>
              </w:rPr>
              <w:t xml:space="preserve">0，2000≤宽度≤2</w:t>
            </w:r>
            <w:r>
              <w:rPr>
                <w:rFonts w:ascii="仿宋_GB2312" w:hAnsi="仿宋_GB2312" w:eastAsia="仿宋_GB2312" w:cs="仿宋_GB2312"/>
                <w:lang w:val="en"/>
              </w:rPr>
              <w:t xml:space="preserve">10</w:t>
            </w:r>
            <w:r>
              <w:rPr>
                <w:rFonts w:hint="eastAsia" w:ascii="仿宋_GB2312" w:hAnsi="仿宋_GB2312" w:eastAsia="仿宋_GB2312" w:cs="仿宋_GB2312"/>
              </w:rPr>
              <w:t xml:space="preserve">0，2600≤高度≤2</w:t>
            </w:r>
            <w:r>
              <w:rPr>
                <w:rFonts w:ascii="仿宋_GB2312" w:hAnsi="仿宋_GB2312" w:eastAsia="仿宋_GB2312" w:cs="仿宋_GB2312"/>
                <w:lang w:val="en"/>
              </w:rPr>
              <w:t xml:space="preserve">80</w:t>
            </w:r>
            <w:r>
              <w:rPr>
                <w:rFonts w:hint="eastAsia" w:ascii="仿宋_GB2312" w:hAnsi="仿宋_GB2312" w:eastAsia="仿宋_GB2312" w:cs="仿宋_GB2312"/>
              </w:rPr>
              <w:t xml:space="preserve">0；轴距(mm):3900≤轴距≤</w:t>
            </w:r>
            <w:r>
              <w:rPr>
                <w:rFonts w:ascii="仿宋_GB2312" w:hAnsi="仿宋_GB2312" w:eastAsia="仿宋_GB2312" w:cs="仿宋_GB2312"/>
                <w:lang w:val="en"/>
              </w:rPr>
              <w:t xml:space="preserve">400</w:t>
            </w:r>
            <w:r>
              <w:rPr>
                <w:rFonts w:hint="eastAsia" w:ascii="仿宋_GB2312" w:hAnsi="仿宋_GB2312" w:eastAsia="仿宋_GB2312" w:cs="仿宋_GB2312"/>
              </w:rPr>
              <w:t xml:space="preserve">0；发动机形式\功率排量：自然吸气发动机，≥2.7L；发动机最大功率（kW）：≥150；乘客门： 自动外摆门+防夹功能；方向盘：上下前后可调；座位：20位;</w:t>
            </w:r>
            <w:r>
              <w:rPr>
                <w:rFonts w:hint="eastAsia" w:ascii="微软雅黑" w:hAnsi="微软雅黑"/>
                <w:sz w:val="18"/>
                <w:szCs w:val="18"/>
              </w:rPr>
              <w:t xml:space="preserve">车身油漆：金属漆。</w:t>
            </w:r>
            <w:r/>
          </w:p>
          <w:p>
            <w:pPr>
              <w:spacing w:line="240" w:lineRule="exact"/>
              <w:rPr>
                <w:rFonts w:ascii="仿宋_GB2312" w:hAnsi="宋体" w:eastAsia="仿宋_GB2312" w:cs="宋体"/>
              </w:rPr>
            </w:pPr>
            <w:r>
              <w:rPr>
                <w:rFonts w:hint="eastAsia" w:ascii="仿宋_GB2312" w:hAnsi="仿宋_GB2312" w:eastAsia="仿宋_GB2312" w:cs="仿宋_GB2312"/>
              </w:rPr>
              <w:t xml:space="preserve">（投标人需提供车辆使用说明书或承诺函，并加盖投标单位公章）</w:t>
            </w:r>
            <w:r/>
          </w:p>
        </w:tc>
      </w:tr>
      <w:tr>
        <w:trPr>
          <w:cantSplit/>
          <w:trHeight w:val="286"/>
        </w:trPr>
        <w:tc>
          <w:tcPr>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2.</w:t>
            </w:r>
            <w:r>
              <w:rPr>
                <w:rFonts w:hint="eastAsia" w:ascii="微软雅黑" w:hAnsi="微软雅黑"/>
              </w:rPr>
              <w:t xml:space="preserve">轮胎规格：</w:t>
            </w:r>
            <w:r>
              <w:rPr>
                <w:rFonts w:hint="eastAsia" w:ascii="仿宋_GB2312" w:hAnsi="仿宋_GB2312" w:eastAsia="仿宋_GB2312" w:cs="仿宋_GB2312"/>
                <w:sz w:val="21"/>
                <w:szCs w:val="21"/>
              </w:rPr>
              <w:t xml:space="preserve"> </w:t>
            </w:r>
            <w:r>
              <w:rPr>
                <w:rFonts w:hint="eastAsia" w:ascii="微软雅黑" w:hAnsi="微软雅黑"/>
              </w:rPr>
              <w:t xml:space="preserve">真空胎</w:t>
            </w:r>
            <w:r>
              <w:rPr>
                <w:rFonts w:hint="eastAsia" w:ascii="微软雅黑" w:hAnsi="微软雅黑"/>
              </w:rPr>
              <w:t xml:space="preserve"> 215/70R17.5</w:t>
            </w:r>
            <w:r>
              <w:rPr>
                <w:rFonts w:hint="eastAsia" w:ascii="微软雅黑" w:hAnsi="微软雅黑"/>
              </w:rPr>
              <w:t xml:space="preserve">（前</w:t>
            </w:r>
            <w:r>
              <w:rPr>
                <w:rFonts w:hint="eastAsia" w:ascii="微软雅黑" w:hAnsi="微软雅黑"/>
              </w:rPr>
              <w:t xml:space="preserve">2/</w:t>
            </w:r>
            <w:r>
              <w:rPr>
                <w:rFonts w:hint="eastAsia" w:ascii="微软雅黑" w:hAnsi="微软雅黑"/>
              </w:rPr>
              <w:t xml:space="preserve">后</w:t>
            </w:r>
            <w:r>
              <w:rPr>
                <w:rFonts w:hint="eastAsia" w:ascii="微软雅黑" w:hAnsi="微软雅黑"/>
              </w:rPr>
              <w:t xml:space="preserve">4</w:t>
            </w:r>
            <w:r>
              <w:rPr>
                <w:rFonts w:hint="eastAsia" w:ascii="微软雅黑" w:hAnsi="微软雅黑"/>
              </w:rPr>
              <w:t xml:space="preserve">）</w:t>
            </w:r>
            <w:r/>
          </w:p>
        </w:tc>
      </w:tr>
      <w:tr>
        <w:trPr>
          <w:cantSplit/>
          <w:trHeight w:val="286"/>
        </w:trPr>
        <w:tc>
          <w:tcPr>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仿宋_GB2312" w:eastAsia="仿宋_GB2312" w:cs="仿宋_GB2312"/>
                <w:sz w:val="21"/>
                <w:szCs w:val="21"/>
              </w:rPr>
              <w:t xml:space="preserve">3.</w:t>
            </w:r>
            <w:r>
              <w:rPr>
                <w:rFonts w:hint="eastAsia" w:ascii="仿宋_GB2312" w:hAnsi="宋体" w:eastAsia="仿宋_GB2312" w:cs="宋体"/>
                <w:sz w:val="21"/>
                <w:szCs w:val="21"/>
              </w:rPr>
              <w:t xml:space="preserve"> </w:t>
            </w:r>
            <w:r>
              <w:rPr>
                <w:rFonts w:hint="eastAsia" w:ascii="微软雅黑" w:hAnsi="微软雅黑"/>
              </w:rPr>
              <w:t xml:space="preserve">油箱容量（</w:t>
            </w:r>
            <w:r>
              <w:rPr>
                <w:rFonts w:hint="eastAsia" w:ascii="微软雅黑" w:hAnsi="微软雅黑"/>
              </w:rPr>
              <w:t xml:space="preserve">L</w:t>
            </w:r>
            <w:r>
              <w:rPr>
                <w:rFonts w:hint="eastAsia" w:ascii="微软雅黑" w:hAnsi="微软雅黑"/>
              </w:rPr>
              <w:t xml:space="preserve">）：≥</w:t>
            </w:r>
            <w:r>
              <w:rPr>
                <w:rFonts w:hint="eastAsia" w:ascii="微软雅黑" w:hAnsi="微软雅黑"/>
              </w:rPr>
              <w:t xml:space="preserve">90L</w:t>
            </w:r>
            <w:r/>
          </w:p>
        </w:tc>
      </w:tr>
      <w:tr>
        <w:trPr>
          <w:cantSplit/>
          <w:trHeight w:val="286"/>
        </w:trPr>
        <w:tc>
          <w:tcPr>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4. 发动机最大功率（kW）≥150</w:t>
            </w:r>
            <w:r/>
          </w:p>
        </w:tc>
      </w:tr>
      <w:tr>
        <w:trPr>
          <w:cantSplit/>
          <w:trHeight w:val="286"/>
        </w:trPr>
        <w:tc>
          <w:tcPr>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5.</w:t>
            </w:r>
            <w:r>
              <w:rPr>
                <w:rFonts w:hint="eastAsia" w:ascii="仿宋_GB2312" w:hAnsi="宋体" w:eastAsia="仿宋_GB2312" w:cs="宋体"/>
                <w:sz w:val="21"/>
                <w:szCs w:val="21"/>
              </w:rPr>
              <w:t xml:space="preserve"> </w:t>
            </w:r>
            <w:r>
              <w:rPr>
                <w:rFonts w:hint="eastAsia" w:ascii="仿宋_GB2312" w:hAnsi="仿宋_GB2312" w:eastAsia="仿宋_GB2312" w:cs="仿宋_GB2312"/>
                <w:sz w:val="21"/>
                <w:szCs w:val="21"/>
              </w:rPr>
              <w:t xml:space="preserve">发动机最大扭矩（</w:t>
            </w:r>
            <w:r>
              <w:rPr>
                <w:rFonts w:hint="eastAsia" w:ascii="仿宋_GB2312" w:hAnsi="仿宋_GB2312" w:eastAsia="仿宋_GB2312" w:cs="仿宋_GB2312"/>
                <w:sz w:val="21"/>
                <w:szCs w:val="21"/>
              </w:rPr>
              <w:t xml:space="preserve">N.m</w:t>
            </w:r>
            <w:r>
              <w:rPr>
                <w:rFonts w:hint="eastAsia" w:ascii="仿宋_GB2312" w:hAnsi="仿宋_GB2312" w:eastAsia="仿宋_GB2312" w:cs="仿宋_GB2312"/>
                <w:sz w:val="21"/>
                <w:szCs w:val="21"/>
              </w:rPr>
              <w:t xml:space="preserve">）≥340</w:t>
            </w:r>
            <w:r/>
          </w:p>
        </w:tc>
      </w:tr>
      <w:tr>
        <w:trPr>
          <w:cantSplit/>
          <w:trHeight w:val="286"/>
        </w:trPr>
        <w:tc>
          <w:tcPr>
            <w:tcBorders>
              <w:bottom w:val="none" w:color="000000" w:sz="4" w:space="0"/>
            </w:tcBorders>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6. </w:t>
            </w:r>
            <w:r>
              <w:rPr>
                <w:rFonts w:hint="eastAsia" w:ascii="微软雅黑" w:hAnsi="微软雅黑"/>
              </w:rPr>
              <w:t xml:space="preserve">ABS</w:t>
            </w:r>
            <w:r>
              <w:rPr>
                <w:rFonts w:hint="eastAsia" w:ascii="微软雅黑" w:hAnsi="微软雅黑"/>
              </w:rPr>
              <w:t xml:space="preserve">，</w:t>
            </w:r>
            <w:r>
              <w:rPr>
                <w:rFonts w:hint="eastAsia" w:ascii="微软雅黑" w:hAnsi="微软雅黑"/>
              </w:rPr>
              <w:t xml:space="preserve">VSC</w:t>
            </w:r>
            <w:r>
              <w:rPr>
                <w:rFonts w:hint="eastAsia" w:ascii="微软雅黑" w:hAnsi="微软雅黑"/>
              </w:rPr>
              <w:t xml:space="preserve">系统：应具备</w:t>
            </w:r>
            <w:r>
              <w:rPr>
                <w:rFonts w:hint="eastAsia" w:ascii="微软雅黑" w:hAnsi="微软雅黑"/>
              </w:rPr>
              <w:t xml:space="preserve">ABS,VSC</w:t>
            </w:r>
            <w:r>
              <w:rPr>
                <w:rFonts w:hint="eastAsia" w:ascii="微软雅黑" w:hAnsi="微软雅黑"/>
              </w:rPr>
              <w:t xml:space="preserve">系统</w:t>
            </w:r>
            <w:r/>
          </w:p>
        </w:tc>
      </w:tr>
      <w:tr>
        <w:trPr>
          <w:cantSplit/>
          <w:trHeight w:val="286"/>
        </w:trPr>
        <w:tc>
          <w:tcPr>
            <w:tcBorders>
              <w:top w:val="none" w:color="000000" w:sz="4" w:space="0"/>
            </w:tcBorders>
            <w:tcW w:w="301" w:type="pct"/>
            <w:vAlign w:val="center"/>
            <w:vMerge w:val="restart"/>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7、环保标准：</w:t>
            </w:r>
            <w:r>
              <w:rPr>
                <w:rFonts w:hint="eastAsia" w:ascii="微软雅黑" w:hAnsi="微软雅黑"/>
              </w:rPr>
              <w:t xml:space="preserve">汽油国四及以上</w:t>
            </w:r>
            <w:r/>
          </w:p>
        </w:tc>
      </w:tr>
      <w:tr>
        <w:trPr>
          <w:cantSplit/>
          <w:trHeight w:val="464"/>
        </w:trPr>
        <w:tc>
          <w:tcPr>
            <w:tcW w:w="3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62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32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50"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8、安全设施：</w:t>
            </w:r>
            <w:r>
              <w:rPr>
                <w:rFonts w:hint="eastAsia" w:ascii="微软雅黑" w:hAnsi="微软雅黑"/>
              </w:rPr>
              <w:t xml:space="preserve">全车配备安全带，</w:t>
            </w:r>
            <w:r>
              <w:rPr>
                <w:rFonts w:hint="eastAsia" w:ascii="微软雅黑" w:hAnsi="微软雅黑"/>
              </w:rPr>
              <w:t xml:space="preserve">D</w:t>
            </w:r>
            <w:r>
              <w:rPr>
                <w:rFonts w:hint="eastAsia" w:ascii="微软雅黑" w:hAnsi="微软雅黑"/>
              </w:rPr>
              <w:t xml:space="preserve">席安全带未系提醒装置；发动机仓自动灭火装置（个以上灭火弹），刹车优先系统</w:t>
            </w:r>
            <w:r/>
          </w:p>
        </w:tc>
      </w:tr>
    </w:tbl>
    <w:p>
      <w:pPr>
        <w:jc w:val="left"/>
        <w:spacing w:line="4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jc w:val="left"/>
        <w:spacing w:after="160" w:line="4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jc w:val="left"/>
        <w:spacing w:line="40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b/>
          <w:bCs/>
          <w:sz w:val="28"/>
          <w:szCs w:val="28"/>
        </w:rPr>
        <w:t xml:space="preserve">分包5：新能源轿车2辆（执法执勤用车）</w:t>
      </w:r>
      <w:r/>
    </w:p>
    <w:tbl>
      <w:tblPr>
        <w:tblpPr w:horzAnchor="page" w:tblpX="1604" w:vertAnchor="text" w:tblpY="686"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28"/>
        <w:gridCol w:w="851"/>
        <w:gridCol w:w="665"/>
        <w:gridCol w:w="6252"/>
      </w:tblGrid>
      <w:tr>
        <w:trPr>
          <w:trHeight w:val="286"/>
        </w:trPr>
        <w:tc>
          <w:tcPr>
            <w:shd w:val="clear" w:color="auto" w:fill="ffffff"/>
            <w:tcMar>
              <w:left w:w="15" w:type="dxa"/>
              <w:top w:w="15" w:type="dxa"/>
              <w:right w:w="15" w:type="dxa"/>
              <w:bottom w:w="15" w:type="dxa"/>
            </w:tcMar>
            <w:tcW w:w="318"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序号</w:t>
            </w:r>
            <w:r/>
          </w:p>
        </w:tc>
        <w:tc>
          <w:tcPr>
            <w:shd w:val="clear" w:color="auto" w:fill="ffffff"/>
            <w:tcMar>
              <w:left w:w="15" w:type="dxa"/>
              <w:top w:w="15" w:type="dxa"/>
              <w:right w:w="15" w:type="dxa"/>
              <w:bottom w:w="15" w:type="dxa"/>
            </w:tcMar>
            <w:tcW w:w="513"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采购项名称</w:t>
            </w:r>
            <w:r/>
          </w:p>
        </w:tc>
        <w:tc>
          <w:tcPr>
            <w:shd w:val="clear" w:color="auto" w:fill="ffffff"/>
            <w:tcMar>
              <w:left w:w="15" w:type="dxa"/>
              <w:top w:w="15" w:type="dxa"/>
              <w:right w:w="15" w:type="dxa"/>
              <w:bottom w:w="15" w:type="dxa"/>
            </w:tcMar>
            <w:tcW w:w="401"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数量</w:t>
            </w:r>
            <w:r/>
          </w:p>
        </w:tc>
        <w:tc>
          <w:tcPr>
            <w:shd w:val="clear" w:color="auto" w:fill="ffffff"/>
            <w:tcMar>
              <w:left w:w="15" w:type="dxa"/>
              <w:top w:w="15" w:type="dxa"/>
              <w:right w:w="15" w:type="dxa"/>
              <w:bottom w:w="15" w:type="dxa"/>
            </w:tcMar>
            <w:tcW w:w="3768" w:type="pct"/>
            <w:vAlign w:val="center"/>
            <w:textDirection w:val="lrTb"/>
            <w:noWrap w:val="false"/>
          </w:tcPr>
          <w:p>
            <w:pPr>
              <w:jc w:val="center"/>
              <w:spacing w:line="400" w:lineRule="exact"/>
              <w:widowControl/>
              <w:rPr>
                <w:rFonts w:ascii="仿宋_GB2312" w:hAnsi="仿宋_GB2312" w:eastAsia="仿宋_GB2312" w:cs="仿宋_GB2312"/>
              </w:rPr>
            </w:pPr>
            <w:r>
              <w:rPr>
                <w:rFonts w:hint="eastAsia" w:ascii="仿宋_GB2312" w:hAnsi="仿宋_GB2312" w:eastAsia="仿宋_GB2312" w:cs="仿宋_GB2312"/>
              </w:rPr>
              <w:t xml:space="preserve">技术要求</w:t>
            </w:r>
            <w:r/>
          </w:p>
        </w:tc>
      </w:tr>
      <w:tr>
        <w:trPr>
          <w:cantSplit/>
          <w:trHeight w:val="1911"/>
        </w:trPr>
        <w:tc>
          <w:tcPr>
            <w:shd w:val="clear" w:color="auto" w:fill="ffffff"/>
            <w:tcMar>
              <w:left w:w="15" w:type="dxa"/>
              <w:top w:w="15" w:type="dxa"/>
              <w:right w:w="15" w:type="dxa"/>
              <w:bottom w:w="15" w:type="dxa"/>
            </w:tcMar>
            <w:tcW w:w="318" w:type="pct"/>
            <w:vAlign w:val="center"/>
            <w:vMerge w:val="restart"/>
            <w:textDirection w:val="lrTb"/>
            <w:noWrap w:val="false"/>
          </w:tcPr>
          <w:p>
            <w:pPr>
              <w:jc w:val="center"/>
              <w:widowControl/>
              <w:rPr>
                <w:rFonts w:ascii="仿宋_GB2312" w:hAnsi="仿宋_GB2312" w:eastAsia="仿宋_GB2312" w:cs="仿宋_GB2312"/>
                <w:b/>
                <w:bCs/>
              </w:rPr>
            </w:pPr>
            <w:r>
              <w:rPr>
                <w:rFonts w:hint="eastAsia" w:ascii="仿宋_GB2312" w:hAnsi="仿宋_GB2312" w:eastAsia="仿宋_GB2312" w:cs="仿宋_GB2312"/>
                <w:b/>
                <w:bCs/>
              </w:rPr>
              <w:t xml:space="preserve">1</w:t>
            </w:r>
            <w:r/>
          </w:p>
        </w:tc>
        <w:tc>
          <w:tcPr>
            <w:shd w:val="clear" w:color="auto" w:fill="ffffff"/>
            <w:tcMar>
              <w:left w:w="15" w:type="dxa"/>
              <w:top w:w="15" w:type="dxa"/>
              <w:right w:w="15" w:type="dxa"/>
              <w:bottom w:w="15" w:type="dxa"/>
            </w:tcMar>
            <w:tcW w:w="513" w:type="pct"/>
            <w:vAlign w:val="center"/>
            <w:vMerge w:val="restart"/>
            <w:textDirection w:val="lrTb"/>
            <w:noWrap w:val="false"/>
          </w:tcPr>
          <w:p>
            <w:pPr>
              <w:jc w:val="left"/>
              <w:widowControl/>
              <w:rPr>
                <w:rFonts w:ascii="仿宋_GB2312" w:hAnsi="仿宋_GB2312" w:eastAsia="仿宋_GB2312" w:cs="仿宋_GB2312"/>
                <w:b/>
                <w:bCs/>
              </w:rPr>
            </w:pPr>
            <w:r>
              <w:rPr>
                <w:rFonts w:hint="eastAsia" w:ascii="仿宋_GB2312" w:hAnsi="仿宋_GB2312" w:eastAsia="仿宋_GB2312" w:cs="仿宋_GB2312"/>
                <w:b/>
                <w:bCs/>
              </w:rPr>
              <w:t xml:space="preserve">新能源小型轿车（最高限价13万元/辆）</w:t>
            </w:r>
            <w:r/>
          </w:p>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401" w:type="pct"/>
            <w:vAlign w:val="center"/>
            <w:vMerge w:val="restart"/>
            <w:textDirection w:val="lrTb"/>
            <w:noWrap w:val="false"/>
          </w:tcPr>
          <w:p>
            <w:pPr>
              <w:jc w:val="center"/>
              <w:widowControl/>
              <w:rPr>
                <w:rFonts w:ascii="仿宋_GB2312" w:hAnsi="仿宋_GB2312" w:eastAsia="仿宋_GB2312" w:cs="仿宋_GB2312"/>
              </w:rPr>
            </w:pPr>
            <w:r>
              <w:rPr>
                <w:rFonts w:hint="eastAsia" w:ascii="仿宋_GB2312" w:hAnsi="仿宋_GB2312" w:eastAsia="仿宋_GB2312" w:cs="仿宋_GB2312"/>
              </w:rPr>
              <w:t xml:space="preserve">2</w:t>
            </w:r>
            <w:r/>
          </w:p>
        </w:tc>
        <w:tc>
          <w:tcPr>
            <w:shd w:val="clear" w:color="auto" w:fill="ffffff"/>
            <w:tcMar>
              <w:left w:w="15" w:type="dxa"/>
              <w:top w:w="15" w:type="dxa"/>
              <w:right w:w="15" w:type="dxa"/>
              <w:bottom w:w="15" w:type="dxa"/>
            </w:tcMar>
            <w:tcW w:w="3768" w:type="pct"/>
            <w:vAlign w:val="center"/>
            <w:textDirection w:val="lrTb"/>
            <w:noWrap w:val="false"/>
          </w:tcPr>
          <w:p>
            <w:pPr>
              <w:jc w:val="left"/>
              <w:widowControl/>
              <w:rPr>
                <w:rFonts w:ascii="仿宋_GB2312" w:hAnsi="宋体" w:eastAsia="仿宋_GB2312" w:cs="宋体"/>
              </w:rPr>
            </w:pPr>
            <w:r>
              <w:rPr>
                <w:rFonts w:hint="eastAsia" w:ascii="仿宋_GB2312" w:hAnsi="仿宋_GB2312" w:eastAsia="仿宋_GB2312" w:cs="仿宋_GB2312"/>
              </w:rPr>
              <w:t xml:space="preserve">★1.能源类型：新能源（油电混合）；车身结构：四门五座；车身长度（mm）：4830</w:t>
            </w:r>
            <w:r>
              <w:rPr>
                <w:rFonts w:hint="eastAsia" w:ascii="仿宋_GB2312" w:hAnsi="宋体" w:eastAsia="仿宋_GB2312"/>
              </w:rPr>
              <w:t xml:space="preserve">≤长度≤4900；</w:t>
            </w:r>
            <w:r>
              <w:rPr>
                <w:rFonts w:hint="eastAsia" w:ascii="仿宋_GB2312" w:hAnsi="仿宋_GB2312" w:eastAsia="仿宋_GB2312" w:cs="仿宋_GB2312"/>
              </w:rPr>
              <w:t xml:space="preserve">车身宽度（mm）：1</w:t>
            </w:r>
            <w:r>
              <w:rPr>
                <w:rFonts w:ascii="仿宋_GB2312" w:hAnsi="仿宋_GB2312" w:eastAsia="仿宋_GB2312" w:cs="仿宋_GB2312"/>
                <w:lang w:val="en"/>
              </w:rPr>
              <w:t xml:space="preserve">89</w:t>
            </w:r>
            <w:r>
              <w:rPr>
                <w:rFonts w:hint="eastAsia" w:ascii="仿宋_GB2312" w:hAnsi="仿宋_GB2312" w:eastAsia="仿宋_GB2312" w:cs="仿宋_GB2312"/>
              </w:rPr>
              <w:t xml:space="preserve">0</w:t>
            </w:r>
            <w:r>
              <w:rPr>
                <w:rFonts w:hint="eastAsia" w:ascii="仿宋_GB2312" w:hAnsi="宋体" w:eastAsia="仿宋_GB2312"/>
              </w:rPr>
              <w:t xml:space="preserve">≤宽度≤1920；</w:t>
            </w:r>
            <w:r>
              <w:rPr>
                <w:rFonts w:hint="eastAsia" w:ascii="仿宋_GB2312" w:hAnsi="仿宋_GB2312" w:eastAsia="仿宋_GB2312" w:cs="仿宋_GB2312"/>
              </w:rPr>
              <w:t xml:space="preserve">车身高度（mm）：1495</w:t>
            </w:r>
            <w:r>
              <w:rPr>
                <w:rFonts w:hint="eastAsia" w:ascii="仿宋_GB2312" w:hAnsi="宋体" w:eastAsia="仿宋_GB2312"/>
              </w:rPr>
              <w:t xml:space="preserve">≤高度≤1</w:t>
            </w:r>
            <w:r>
              <w:rPr>
                <w:rFonts w:ascii="仿宋_GB2312" w:hAnsi="宋体" w:eastAsia="仿宋_GB2312"/>
                <w:lang w:val="en"/>
              </w:rPr>
              <w:t xml:space="preserve">5</w:t>
            </w:r>
            <w:r>
              <w:rPr>
                <w:rFonts w:hint="eastAsia" w:ascii="仿宋_GB2312" w:hAnsi="宋体" w:eastAsia="仿宋_GB2312"/>
              </w:rPr>
              <w:t xml:space="preserve">00；</w:t>
            </w:r>
            <w:r>
              <w:rPr>
                <w:rFonts w:hint="eastAsia" w:ascii="仿宋_GB2312" w:hAnsi="仿宋_GB2312" w:eastAsia="仿宋_GB2312" w:cs="仿宋_GB2312"/>
              </w:rPr>
              <w:t xml:space="preserve">轴距(mm):2</w:t>
            </w:r>
            <w:r>
              <w:rPr>
                <w:rFonts w:hint="eastAsia" w:ascii="仿宋_GB2312" w:hAnsi="宋体" w:eastAsia="仿宋_GB2312"/>
              </w:rPr>
              <w:t xml:space="preserve">790≤轴距≤</w:t>
            </w:r>
            <w:r>
              <w:rPr>
                <w:rFonts w:hint="eastAsia" w:ascii="仿宋_GB2312" w:hAnsi="仿宋_GB2312" w:eastAsia="仿宋_GB2312" w:cs="仿宋_GB2312"/>
              </w:rPr>
              <w:t xml:space="preserve">2</w:t>
            </w:r>
            <w:r>
              <w:rPr>
                <w:rFonts w:ascii="仿宋_GB2312" w:hAnsi="仿宋_GB2312" w:eastAsia="仿宋_GB2312" w:cs="仿宋_GB2312"/>
                <w:lang w:val="en"/>
              </w:rPr>
              <w:t xml:space="preserve">8</w:t>
            </w:r>
            <w:r>
              <w:rPr>
                <w:rFonts w:hint="eastAsia" w:ascii="仿宋_GB2312" w:hAnsi="仿宋_GB2312" w:eastAsia="仿宋_GB2312" w:cs="仿宋_GB2312"/>
              </w:rPr>
              <w:t xml:space="preserve">00；轮距前/后（mm）：≥1620；排量（ml）：≥1500； </w:t>
            </w:r>
            <w:r>
              <w:rPr>
                <w:rFonts w:hint="eastAsia" w:ascii="仿宋_GB2312" w:hAnsi="仿宋_GB2312" w:eastAsia="仿宋_GB2312" w:cs="仿宋_GB2312"/>
                <w:sz w:val="22"/>
                <w:szCs w:val="28"/>
              </w:rPr>
              <w:t xml:space="preserve">CLTC纯电续航里程(km)：120</w:t>
            </w:r>
            <w:r>
              <w:rPr>
                <w:rFonts w:hint="eastAsia" w:ascii="仿宋_GB2312" w:hAnsi="仿宋_GB2312" w:eastAsia="仿宋_GB2312" w:cs="仿宋_GB2312"/>
              </w:rPr>
              <w:t xml:space="preserve">；</w:t>
            </w:r>
            <w:r>
              <w:rPr>
                <w:rFonts w:hint="eastAsia" w:ascii="仿宋_GB2312" w:hAnsi="仿宋_GB2312" w:eastAsia="仿宋_GB2312" w:cs="仿宋_GB2312"/>
                <w:b/>
              </w:rPr>
              <w:t xml:space="preserve">整车质保</w:t>
            </w:r>
            <w:r>
              <w:rPr>
                <w:rFonts w:hint="eastAsia" w:ascii="仿宋_GB2312" w:hAnsi="仿宋_GB2312" w:eastAsia="仿宋_GB2312" w:cs="仿宋_GB2312"/>
              </w:rPr>
              <w:t xml:space="preserve">：非营运车辆三电系统终身保修(首任车主)，整车包修期6年或15万公里。（投标人需提供车辆使用说明书或承诺函，并加盖投标单位公章）</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center"/>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2. 发动机型号：</w:t>
            </w:r>
            <w:r>
              <w:rPr>
                <w:rFonts w:hint="eastAsia" w:ascii="仿宋" w:hAnsi="仿宋" w:eastAsia="仿宋" w:cs="仿宋"/>
                <w:color w:val="000000"/>
                <w:sz w:val="21"/>
                <w:szCs w:val="21"/>
              </w:rPr>
              <w:t xml:space="preserve">插混专用1.5L高效发动机</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宋体" w:eastAsia="仿宋_GB2312" w:cs="宋体"/>
                <w:sz w:val="21"/>
                <w:szCs w:val="21"/>
              </w:rPr>
            </w:pPr>
            <w:r>
              <w:rPr>
                <w:rFonts w:hint="eastAsia" w:ascii="仿宋_GB2312" w:hAnsi="仿宋_GB2312" w:eastAsia="仿宋_GB2312" w:cs="仿宋_GB2312"/>
                <w:sz w:val="21"/>
                <w:szCs w:val="21"/>
              </w:rPr>
              <w:t xml:space="preserve">3.</w:t>
            </w:r>
            <w:r>
              <w:rPr>
                <w:rFonts w:hint="eastAsia" w:ascii="仿宋_GB2312" w:hAnsi="宋体" w:eastAsia="仿宋_GB2312" w:cs="宋体"/>
                <w:sz w:val="21"/>
                <w:szCs w:val="21"/>
              </w:rPr>
              <w:t xml:space="preserve"> </w:t>
            </w:r>
            <w:r>
              <w:rPr>
                <w:rFonts w:hint="eastAsia" w:ascii="仿宋_GB2312" w:hAnsi="仿宋_GB2312" w:eastAsia="仿宋_GB2312" w:cs="仿宋_GB2312"/>
                <w:sz w:val="21"/>
                <w:szCs w:val="21"/>
              </w:rPr>
              <w:t xml:space="preserve">发动机型式：</w:t>
            </w:r>
            <w:r>
              <w:rPr>
                <w:rFonts w:hint="eastAsia" w:ascii="仿宋" w:hAnsi="仿宋" w:eastAsia="仿宋" w:cs="仿宋"/>
                <w:color w:val="000000"/>
                <w:sz w:val="21"/>
                <w:szCs w:val="21"/>
              </w:rPr>
              <w:t xml:space="preserve">电子控制燃油多点顺序喷射/直列四缸/四冲程/液冷/双顶置凸轮轴/16气门/电子点火/进气VVT</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4. 发动机最大功率（kW）≥70</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5.</w:t>
            </w:r>
            <w:r>
              <w:rPr>
                <w:rFonts w:hint="eastAsia" w:ascii="仿宋_GB2312" w:hAnsi="宋体" w:eastAsia="仿宋_GB2312" w:cs="宋体"/>
                <w:sz w:val="21"/>
                <w:szCs w:val="21"/>
              </w:rPr>
              <w:t xml:space="preserve"> </w:t>
            </w:r>
            <w:r>
              <w:rPr>
                <w:rFonts w:hint="eastAsia" w:ascii="仿宋_GB2312" w:hAnsi="仿宋_GB2312" w:eastAsia="仿宋_GB2312" w:cs="仿宋_GB2312"/>
                <w:sz w:val="21"/>
                <w:szCs w:val="21"/>
              </w:rPr>
              <w:t xml:space="preserve">发动机最大扭矩（</w:t>
            </w:r>
            <w:r>
              <w:rPr>
                <w:rFonts w:hint="eastAsia" w:ascii="仿宋_GB2312" w:hAnsi="仿宋_GB2312" w:eastAsia="仿宋_GB2312" w:cs="仿宋_GB2312"/>
                <w:sz w:val="21"/>
                <w:szCs w:val="21"/>
              </w:rPr>
              <w:t xml:space="preserve">N.m</w:t>
            </w:r>
            <w:r>
              <w:rPr>
                <w:rFonts w:hint="eastAsia" w:ascii="仿宋_GB2312" w:hAnsi="仿宋_GB2312" w:eastAsia="仿宋_GB2312" w:cs="仿宋_GB2312"/>
                <w:sz w:val="21"/>
                <w:szCs w:val="21"/>
              </w:rPr>
              <w:t xml:space="preserve">）≥120</w:t>
            </w:r>
            <w:r/>
          </w:p>
        </w:tc>
      </w:tr>
      <w:tr>
        <w:trPr>
          <w:cantSplit/>
          <w:trHeight w:val="286"/>
        </w:trPr>
        <w:tc>
          <w:tcPr>
            <w:tcBorders>
              <w:bottom w:val="none" w:color="000000" w:sz="4" w:space="0"/>
            </w:tcBorders>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6. 电池类型：磷酸铁锂刀片电池。</w:t>
            </w:r>
            <w:r/>
          </w:p>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电机型式：永磁同步电机</w:t>
            </w:r>
            <w:r/>
          </w:p>
        </w:tc>
      </w:tr>
      <w:tr>
        <w:trPr>
          <w:cantSplit/>
          <w:trHeight w:val="286"/>
        </w:trPr>
        <w:tc>
          <w:tcPr>
            <w:tcBorders>
              <w:top w:val="none" w:color="000000" w:sz="4" w:space="0"/>
            </w:tcBorders>
            <w:tcW w:w="318" w:type="pct"/>
            <w:vAlign w:val="center"/>
            <w:vMerge w:val="restart"/>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7、环保标准：国Ⅵ</w:t>
            </w:r>
            <w:r/>
          </w:p>
        </w:tc>
      </w:tr>
      <w:tr>
        <w:trPr>
          <w:cantSplit/>
          <w:trHeight w:val="339"/>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8、制动及悬架：</w:t>
            </w:r>
            <w:r>
              <w:rPr>
                <w:rFonts w:hint="eastAsia" w:ascii="仿宋" w:hAnsi="仿宋" w:eastAsia="仿宋" w:cs="仿宋"/>
                <w:sz w:val="21"/>
                <w:szCs w:val="21"/>
              </w:rPr>
              <w:t xml:space="preserve">前制动器类型：通风盘式后制动器类型：盘式</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9.安全装备：</w:t>
            </w:r>
            <w:r>
              <w:rPr>
                <w:rFonts w:hint="eastAsia" w:ascii="仿宋" w:hAnsi="仿宋" w:eastAsia="仿宋" w:cs="仿宋"/>
                <w:color w:val="000000"/>
                <w:sz w:val="21"/>
                <w:szCs w:val="21"/>
                <w:shd w:val="clear" w:color="auto" w:fill="ffffff"/>
              </w:rPr>
              <w:t xml:space="preserve">智能动力制动系统（IPB），车身电子稳定系统，</w:t>
            </w:r>
            <w:r>
              <w:rPr>
                <w:rFonts w:hint="eastAsia" w:ascii="仿宋" w:hAnsi="仿宋" w:eastAsia="仿宋" w:cs="仿宋"/>
                <w:sz w:val="21"/>
                <w:szCs w:val="21"/>
              </w:rPr>
              <w:t xml:space="preserve">防抱死制动系统，</w:t>
            </w:r>
            <w:r>
              <w:rPr>
                <w:rFonts w:hint="eastAsia" w:ascii="方正仿宋_GB2312" w:hAnsi="方正仿宋_GB2312" w:eastAsia="方正仿宋_GB2312" w:cs="方正仿宋_GB2312"/>
                <w:color w:val="000000"/>
                <w:sz w:val="21"/>
                <w:szCs w:val="21"/>
                <w:shd w:val="clear" w:color="auto" w:fill="ffffff"/>
              </w:rPr>
              <w:t xml:space="preserve">3D全景透明影像系统，</w:t>
            </w:r>
            <w:r>
              <w:rPr>
                <w:rFonts w:hint="eastAsia" w:ascii="仿宋" w:hAnsi="仿宋" w:eastAsia="仿宋" w:cs="仿宋"/>
                <w:sz w:val="21"/>
                <w:szCs w:val="21"/>
              </w:rPr>
              <w:t xml:space="preserve">4探头后泊车雷达</w:t>
            </w:r>
            <w:r/>
          </w:p>
        </w:tc>
      </w:tr>
      <w:tr>
        <w:trPr>
          <w:cantSplit/>
          <w:trHeight w:val="286"/>
        </w:trPr>
        <w:tc>
          <w:tcPr>
            <w:tcW w:w="318"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513"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tcW w:w="401" w:type="pct"/>
            <w:vAlign w:val="center"/>
            <w:vMerge w:val="continue"/>
            <w:textDirection w:val="lrTb"/>
            <w:noWrap w:val="false"/>
          </w:tcPr>
          <w:p>
            <w:pPr>
              <w:jc w:val="left"/>
              <w:widowControl/>
              <w:rPr>
                <w:rFonts w:ascii="仿宋_GB2312" w:hAnsi="仿宋_GB2312" w:eastAsia="仿宋_GB2312" w:cs="仿宋_GB2312"/>
              </w:rPr>
            </w:pPr>
            <w:r>
              <w:rPr>
                <w:rFonts w:ascii="仿宋_GB2312" w:hAnsi="仿宋_GB2312" w:eastAsia="仿宋_GB2312" w:cs="仿宋_GB2312"/>
              </w:rPr>
            </w:r>
            <w:r/>
          </w:p>
        </w:tc>
        <w:tc>
          <w:tcPr>
            <w:shd w:val="clear" w:color="auto" w:fill="ffffff"/>
            <w:tcMar>
              <w:left w:w="15" w:type="dxa"/>
              <w:top w:w="15" w:type="dxa"/>
              <w:right w:w="15" w:type="dxa"/>
              <w:bottom w:w="15" w:type="dxa"/>
            </w:tcMar>
            <w:tcW w:w="3768" w:type="pct"/>
            <w:vAlign w:val="center"/>
            <w:textDirection w:val="lrTb"/>
            <w:noWrap w:val="false"/>
          </w:tcPr>
          <w:p>
            <w:pPr>
              <w:pStyle w:val="1019"/>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10、智能网联系统：</w:t>
            </w:r>
            <w:r>
              <w:rPr>
                <w:rFonts w:hint="eastAsia" w:ascii="仿宋" w:hAnsi="仿宋" w:eastAsia="仿宋" w:cs="仿宋"/>
                <w:color w:val="000000"/>
                <w:sz w:val="21"/>
                <w:szCs w:val="21"/>
                <w:shd w:val="clear" w:color="auto" w:fill="ffffff"/>
              </w:rPr>
              <w:t xml:space="preserve">车载蓝牙系统，车载</w:t>
            </w:r>
            <w:r>
              <w:rPr>
                <w:rFonts w:hint="eastAsia" w:ascii="仿宋" w:hAnsi="仿宋" w:eastAsia="仿宋" w:cs="仿宋"/>
                <w:color w:val="000000"/>
                <w:sz w:val="21"/>
                <w:szCs w:val="21"/>
                <w:shd w:val="clear" w:color="auto" w:fill="ffffff"/>
              </w:rPr>
              <w:t xml:space="preserve">WiFi</w:t>
            </w:r>
            <w:r>
              <w:rPr>
                <w:rFonts w:hint="eastAsia" w:ascii="仿宋" w:hAnsi="仿宋" w:eastAsia="仿宋" w:cs="仿宋"/>
                <w:sz w:val="21"/>
                <w:szCs w:val="21"/>
              </w:rPr>
              <w:t xml:space="preserve">，</w:t>
            </w:r>
            <w:r>
              <w:rPr>
                <w:rFonts w:hint="eastAsia" w:ascii="仿宋" w:hAnsi="仿宋" w:eastAsia="仿宋" w:cs="仿宋"/>
                <w:color w:val="000000"/>
                <w:sz w:val="21"/>
                <w:szCs w:val="21"/>
                <w:shd w:val="clear" w:color="auto" w:fill="ffffff"/>
              </w:rPr>
              <w:t xml:space="preserve">OTA远程升级，USB接口，车载K歌娱乐系统，高保真音响系统：6扬声器</w:t>
            </w:r>
            <w:r/>
          </w:p>
        </w:tc>
      </w:tr>
    </w:tbl>
    <w:p>
      <w:pPr>
        <w:jc w:val="left"/>
        <w:spacing w:line="4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3.采购标的对应的中小企业划分标准所属行业一览表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6"/>
        <w:gridCol w:w="3714"/>
        <w:gridCol w:w="3906"/>
      </w:tblGrid>
      <w:tr>
        <w:trPr>
          <w:cantSplit/>
          <w:jc w:val="center"/>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2238" w:type="pct"/>
            <w:vAlign w:val="center"/>
            <w:textDirection w:val="lrTb"/>
            <w:noWrap w:val="false"/>
          </w:tcPr>
          <w:p>
            <w:pPr>
              <w:jc w:val="center"/>
              <w:rPr>
                <w:rFonts w:ascii="宋体" w:hAnsi="宋体"/>
                <w:sz w:val="24"/>
              </w:rPr>
            </w:pPr>
            <w:r>
              <w:rPr>
                <w:rFonts w:hint="eastAsia" w:ascii="宋体" w:hAnsi="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center"/>
              <w:rPr>
                <w:rFonts w:ascii="宋体" w:hAnsi="宋体"/>
                <w:sz w:val="24"/>
              </w:rPr>
            </w:pPr>
            <w:r>
              <w:rPr>
                <w:rFonts w:hint="eastAsia" w:ascii="宋体" w:hAnsi="宋体"/>
                <w:sz w:val="24"/>
              </w:rPr>
              <w:t xml:space="preserve">对应中小企业划分标准所属行业</w:t>
            </w:r>
            <w:r/>
          </w:p>
        </w:tc>
      </w:tr>
      <w:tr>
        <w:trPr>
          <w:cantSplit/>
          <w:jc w:val="center"/>
          <w:trHeight w:val="6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2238" w:type="pct"/>
            <w:vAlign w:val="center"/>
            <w:textDirection w:val="lrTb"/>
            <w:noWrap w:val="false"/>
          </w:tcPr>
          <w:p>
            <w:pPr>
              <w:pStyle w:val="1022"/>
              <w:jc w:val="center"/>
              <w:rPr>
                <w:rFonts w:ascii="宋体" w:hAnsi="宋体"/>
              </w:rPr>
            </w:pPr>
            <w:r>
              <w:rPr>
                <w:rFonts w:hint="eastAsia" w:ascii="仿宋_GB2312" w:hAnsi="仿宋_GB2312" w:eastAsia="仿宋_GB2312" w:cs="仿宋_GB2312"/>
              </w:rPr>
              <w:t xml:space="preserve">分包1-分包5</w:t>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center"/>
              <w:rPr>
                <w:rFonts w:ascii="宋体" w:hAnsi="宋体"/>
                <w:sz w:val="24"/>
              </w:rPr>
            </w:pPr>
            <w:r>
              <w:rPr>
                <w:rFonts w:hint="eastAsia" w:ascii="宋体" w:hAnsi="宋体"/>
                <w:sz w:val="24"/>
              </w:rPr>
              <w:t xml:space="preserve">工业</w:t>
            </w:r>
            <w:r/>
          </w:p>
        </w:tc>
      </w:tr>
    </w:tbl>
    <w:p>
      <w:r/>
      <w:r/>
    </w:p>
    <w:p>
      <w:r/>
      <w:r/>
    </w:p>
    <w:p>
      <w:pPr>
        <w:pStyle w:val="901"/>
        <w:rPr>
          <w:rFonts w:ascii="黑体" w:eastAsia="黑体"/>
          <w:bCs/>
          <w:sz w:val="44"/>
        </w:rPr>
      </w:pPr>
      <w:r/>
      <w:bookmarkStart w:id="203" w:name="_Toc175731540"/>
      <w:r>
        <w:rPr>
          <w:rFonts w:hint="eastAsia" w:ascii="黑体" w:eastAsia="黑体"/>
          <w:bCs/>
          <w:sz w:val="44"/>
        </w:rPr>
        <w:t xml:space="preserve">第五章  评标方法与评标标准</w:t>
      </w:r>
      <w:bookmarkEnd w:id="203"/>
      <w:r/>
      <w:r/>
    </w:p>
    <w:p>
      <w:r/>
      <w:r/>
    </w:p>
    <w:p>
      <w:pPr>
        <w:pStyle w:val="98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87"/>
        <w:ind w:firstLine="441"/>
        <w:rPr>
          <w:rFonts w:ascii="宋体" w:hAnsi="宋体"/>
          <w:b/>
          <w:highlight w:val="yellow"/>
        </w:rPr>
      </w:pPr>
      <w:r>
        <w:rPr>
          <w:rFonts w:hint="eastAsia" w:ascii="宋体" w:hAnsi="宋体"/>
          <w:b/>
        </w:rPr>
        <w:t xml:space="preserve">政府采购政策功能落实</w:t>
      </w:r>
      <w:r/>
    </w:p>
    <w:p>
      <w:pPr>
        <w:pStyle w:val="987"/>
        <w:spacing w:line="0" w:lineRule="atLeast"/>
        <w:rPr>
          <w:rFonts w:ascii="宋体" w:hAnsi="宋体"/>
        </w:rPr>
      </w:pPr>
      <w:r>
        <w:rPr>
          <w:rFonts w:hint="eastAsia" w:ascii="宋体" w:hAnsi="宋体"/>
        </w:rPr>
        <w:t xml:space="preserve">1、小微型企业价格扣除</w:t>
      </w:r>
      <w:r/>
    </w:p>
    <w:p>
      <w:pPr>
        <w:pStyle w:val="987"/>
        <w:ind w:firstLine="360"/>
        <w:spacing w:line="0" w:lineRule="atLeast"/>
        <w:rPr>
          <w:rFonts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87"/>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87"/>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87"/>
        <w:spacing w:line="0" w:lineRule="atLeast"/>
        <w:rPr>
          <w:rFonts w:ascii="宋体" w:hAnsi="宋体"/>
        </w:rPr>
      </w:pPr>
      <w:r>
        <w:rPr>
          <w:rFonts w:hint="eastAsia" w:ascii="宋体" w:hAnsi="宋体"/>
        </w:rPr>
        <w:t xml:space="preserve">2、残疾人福利单位价格扣除</w:t>
      </w:r>
      <w:r/>
    </w:p>
    <w:p>
      <w:pPr>
        <w:pStyle w:val="987"/>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87"/>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87"/>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87"/>
        <w:spacing w:line="0" w:lineRule="atLeast"/>
        <w:rPr>
          <w:rFonts w:ascii="宋体" w:hAnsi="宋体"/>
        </w:rPr>
      </w:pPr>
      <w:r>
        <w:rPr>
          <w:rFonts w:hint="eastAsia" w:ascii="宋体" w:hAnsi="宋体"/>
        </w:rPr>
        <w:t xml:space="preserve">3、监狱和戒毒企业价格扣除</w:t>
      </w:r>
      <w:r/>
    </w:p>
    <w:p>
      <w:pPr>
        <w:pStyle w:val="987"/>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87"/>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87"/>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7"/>
        <w:spacing w:line="400" w:lineRule="exact"/>
        <w:rPr>
          <w:rFonts w:ascii="宋体" w:hAnsi="宋体"/>
        </w:rPr>
      </w:pPr>
      <w:r>
        <w:rPr>
          <w:rFonts w:hint="eastAsia" w:ascii="宋体" w:hAnsi="宋体"/>
        </w:rPr>
        <w:t xml:space="preserve">4、残疾人福利单位、监狱企业属于小型、微型企业的，不重复享受政策。</w:t>
      </w:r>
      <w:r/>
    </w:p>
    <w:p>
      <w:pPr>
        <w:pStyle w:val="987"/>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hint="eastAsia" w:ascii="宋体" w:hAnsi="宋体"/>
        </w:rPr>
        <w:t xml:space="preserve">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87"/>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87"/>
        <w:spacing w:line="0" w:lineRule="atLeast"/>
        <w:rPr>
          <w:rFonts w:ascii="宋体" w:hAnsi="宋体"/>
        </w:rPr>
      </w:pPr>
      <w:r>
        <w:rPr>
          <w:rFonts w:ascii="宋体" w:hAnsi="宋体"/>
        </w:rPr>
      </w:r>
      <w:r/>
    </w:p>
    <w:p>
      <w:pPr>
        <w:pStyle w:val="987"/>
        <w:ind w:firstLine="482"/>
        <w:spacing w:line="0" w:lineRule="atLeast"/>
        <w:rPr>
          <w:rFonts w:ascii="宋体" w:hAnsi="宋体"/>
          <w:b/>
          <w:highlight w:val="yellow"/>
        </w:rPr>
      </w:pPr>
      <w:r>
        <w:rPr>
          <w:rFonts w:hint="eastAsia" w:ascii="宋体" w:hAnsi="宋体"/>
          <w:b/>
        </w:rPr>
        <w:t xml:space="preserve">分包1-分包5评标方法与评标标准</w:t>
      </w:r>
      <w:r/>
    </w:p>
    <w:tbl>
      <w:tblPr>
        <w:tblW w:w="5000" w:type="pct"/>
        <w:tblCellMar>
          <w:left w:w="0" w:type="dxa"/>
          <w:right w:w="0" w:type="dxa"/>
        </w:tblCellMar>
        <w:tblLook w:val="04A0" w:firstRow="1" w:lastRow="0" w:firstColumn="1" w:lastColumn="0" w:noHBand="0" w:noVBand="1"/>
      </w:tblPr>
      <w:tblGrid>
        <w:gridCol w:w="652"/>
        <w:gridCol w:w="1273"/>
        <w:gridCol w:w="3805"/>
        <w:gridCol w:w="708"/>
        <w:gridCol w:w="545"/>
        <w:gridCol w:w="653"/>
        <w:gridCol w:w="650"/>
      </w:tblGrid>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rPr>
                <w:rFonts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rPr>
                <w:rFonts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rPr>
                <w:rFonts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w:t>
            </w:r>
            <w:r>
              <w:rPr>
                <w:rFonts w:hint="eastAsia" w:ascii="宋体" w:hAnsi="宋体" w:cs="宋体"/>
              </w:rPr>
              <w:t xml:space="preserve">分统一</w:t>
            </w:r>
            <w:r>
              <w:rPr>
                <w:rFonts w:hint="eastAsia" w:ascii="宋体" w:hAnsi="宋体" w:cs="宋体"/>
              </w:rPr>
              <w:t xml:space="preserve">按照下列公式计算： 投标报价得分=(评标基准价／投标报价)×</w:t>
            </w:r>
            <w:r>
              <w:rPr>
                <w:rFonts w:hint="eastAsia" w:ascii="宋体" w:hAnsi="宋体" w:cs="宋体"/>
              </w:rPr>
              <w:t xml:space="preserve">价格权</w:t>
            </w:r>
            <w:r>
              <w:rPr>
                <w:rFonts w:hint="eastAsia" w:ascii="宋体" w:hAnsi="宋体" w:cs="宋体"/>
              </w:rPr>
              <w:t xml:space="preserve">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30</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rPr>
                <w:rFonts w:ascii="宋体" w:hAnsi="宋体" w:cs="宋体"/>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color w:val="000000"/>
                <w:sz w:val="20"/>
                <w:szCs w:val="20"/>
              </w:rPr>
              <w:t xml:space="preserve">下列（2.1-2.3）评分</w:t>
            </w:r>
            <w:r>
              <w:rPr>
                <w:rFonts w:hint="eastAsia" w:ascii="宋体" w:hAnsi="宋体" w:cs="宋体"/>
                <w:b/>
                <w:bCs/>
                <w:color w:val="000000"/>
                <w:sz w:val="20"/>
                <w:szCs w:val="20"/>
              </w:rPr>
              <w:t xml:space="preserve">项属于</w:t>
            </w:r>
            <w:r>
              <w:rPr>
                <w:rFonts w:hint="eastAsia" w:ascii="宋体" w:hAnsi="宋体" w:cs="宋体"/>
                <w:b/>
                <w:bCs/>
                <w:color w:val="000000"/>
                <w:sz w:val="20"/>
                <w:szCs w:val="20"/>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18</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组织框架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5分；内容不够完整，方案针对性较弱，部分满足项目需求的得4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保修期响应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w:t>
            </w:r>
            <w:r>
              <w:rPr>
                <w:rFonts w:ascii="宋体" w:hAnsi="宋体" w:cs="宋体"/>
                <w:b/>
                <w:color w:val="000000"/>
                <w:sz w:val="20"/>
              </w:rPr>
              <w:t xml:space="preserve">护方案内容不够具体，基本能满足项目需求得5分；保修期响应时间及时，保障措施不够完善，专业的维护队伍配备不够充足，人员管理方案合理性一般，维修维护方案内容不够具体，部分满足项目需求得4分；较差或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常驻供货维修人员配备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根据投标人提供的常驻供货维修人员是否配备齐全（提供相关资格证书，不提供得分），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5分；常驻供货维修人员配备不够齐全，有专业的救援团队、救援车的得4分；没有专业的救援团队、救援车或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52</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bookmarkStart w:id="204" w:name="OLE_LINK6"/>
            <w:r>
              <w:rPr>
                <w:rFonts w:hint="eastAsia" w:ascii="宋体" w:hAnsi="宋体" w:cs="宋体"/>
                <w:b/>
                <w:bCs/>
                <w:sz w:val="20"/>
                <w:szCs w:val="20"/>
              </w:rPr>
              <w:t xml:space="preserve">3.1</w:t>
            </w:r>
            <w:bookmarkEnd w:id="204"/>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技术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1. 根据投标文件中的技术偏离表对招标文件参数要求的响应状况综合打分，完全满足得26分。2. 打“★”的为实质性条款，此参数不接受负偏离，出现负偏离作无效投标处理。3.其他参数项出现负偏离的每有1项扣2分。</w:t>
            </w:r>
            <w:r>
              <w:rPr>
                <w:rFonts w:hint="eastAsia" w:ascii="宋体" w:hAnsi="宋体" w:cs="宋体"/>
                <w:b/>
                <w:color w:val="000000"/>
                <w:sz w:val="20"/>
              </w:rPr>
              <w:t xml:space="preserve">投标文件，车辆使用说明书（需提供技术偏离表）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免费保修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本项目承诺车辆免费保修期，在实质性响应条款的基础上每增加一年或2万公里的得2分，此项最高得</w:t>
            </w:r>
            <w:r>
              <w:rPr>
                <w:rFonts w:hint="eastAsia" w:ascii="宋体" w:hAnsi="宋体" w:cs="宋体"/>
                <w:b/>
                <w:color w:val="000000"/>
                <w:sz w:val="20"/>
              </w:rPr>
              <w:t xml:space="preserve">8</w:t>
            </w:r>
            <w:r>
              <w:rPr>
                <w:rFonts w:ascii="宋体" w:hAnsi="宋体" w:cs="宋体"/>
                <w:b/>
                <w:color w:val="000000"/>
                <w:sz w:val="20"/>
              </w:rPr>
              <w:t xml:space="preserve">分。投标单位提供承诺函并加盖公章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8</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交货时间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交货时间（</w:t>
            </w:r>
            <w:r>
              <w:rPr>
                <w:rFonts w:hint="eastAsia" w:ascii="宋体" w:hAnsi="宋体" w:cs="宋体"/>
                <w:b/>
                <w:color w:val="000000"/>
                <w:sz w:val="20"/>
              </w:rPr>
              <w:t xml:space="preserve">2</w:t>
            </w:r>
            <w:r>
              <w:rPr>
                <w:rFonts w:ascii="宋体" w:hAnsi="宋体" w:cs="宋体"/>
                <w:b/>
                <w:color w:val="000000"/>
                <w:sz w:val="20"/>
              </w:rPr>
              <w:t xml:space="preserve">分）：承诺合同签订后45天内交货的得</w:t>
            </w:r>
            <w:r>
              <w:rPr>
                <w:rFonts w:hint="eastAsia" w:ascii="宋体" w:hAnsi="宋体" w:cs="宋体"/>
                <w:b/>
                <w:color w:val="000000"/>
                <w:sz w:val="20"/>
              </w:rPr>
              <w:t xml:space="preserve">2</w:t>
            </w:r>
            <w:r>
              <w:rPr>
                <w:rFonts w:ascii="宋体" w:hAnsi="宋体" w:cs="宋体"/>
                <w:b/>
                <w:color w:val="000000"/>
                <w:sz w:val="20"/>
              </w:rPr>
              <w:t xml:space="preserve">分。不承诺不得分。投标单位提供承诺函并加盖公章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销售业绩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销售业绩（10分）：自202</w:t>
            </w:r>
            <w:r>
              <w:rPr>
                <w:rFonts w:hint="eastAsia" w:ascii="宋体" w:hAnsi="宋体" w:cs="宋体"/>
                <w:b/>
                <w:color w:val="000000"/>
                <w:sz w:val="20"/>
              </w:rPr>
              <w:t xml:space="preserve">2</w:t>
            </w:r>
            <w:r>
              <w:rPr>
                <w:rFonts w:ascii="宋体" w:hAnsi="宋体" w:cs="宋体"/>
                <w:b/>
                <w:color w:val="000000"/>
                <w:sz w:val="20"/>
              </w:rPr>
              <w:t xml:space="preserve">年1月1日以来至今有相关汽车销售经历，每提供一份合同得2分，本项最高10分（提供所有合同及该合同项下的发票复印件，缺项不得分）。投标文件（提供所有合同及该合同项下的发票复印件）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10</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产品认证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bCs/>
                <w:sz w:val="20"/>
                <w:szCs w:val="20"/>
              </w:rPr>
            </w:pPr>
            <w:r>
              <w:rPr>
                <w:rFonts w:ascii="宋体" w:hAnsi="宋体" w:cs="宋体"/>
                <w:b/>
                <w:color w:val="000000"/>
                <w:sz w:val="20"/>
              </w:rPr>
              <w:t xml:space="preserve">具有中国环境标志产品认证证书的，得2分。不提供不得分。投标人或者投标产品制造商提供国家确定的认证机构出具的、处于有效期之内的中国环境标志产品认证证书。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cs="宋体"/>
                <w:b/>
                <w:bCs/>
                <w:sz w:val="20"/>
                <w:szCs w:val="20"/>
              </w:rPr>
            </w:pPr>
            <w:r>
              <w:rPr>
                <w:rFonts w:hint="eastAsia" w:ascii="宋体" w:hAnsi="宋体"/>
                <w:b/>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393"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68" w:type="pct"/>
            <w:vAlign w:val="center"/>
            <w:textDirection w:val="lrTb"/>
            <w:noWrap w:val="false"/>
          </w:tcPr>
          <w:p>
            <w:pPr>
              <w:jc w:val="center"/>
              <w:widowControl/>
              <w:rPr>
                <w:rFonts w:ascii="宋体" w:hAnsi="宋体" w:cs="宋体"/>
                <w:b/>
                <w:bCs/>
                <w:sz w:val="20"/>
                <w:szCs w:val="20"/>
              </w:rPr>
            </w:pPr>
            <w:r>
              <w:rPr>
                <w:rFonts w:hint="eastAsia" w:ascii="宋体" w:hAnsi="宋体" w:cs="宋体"/>
                <w:b/>
                <w:sz w:val="20"/>
              </w:rPr>
              <w:t xml:space="preserve">增值服务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96" w:type="pct"/>
            <w:vAlign w:val="center"/>
            <w:textDirection w:val="lrTb"/>
            <w:noWrap w:val="false"/>
          </w:tcPr>
          <w:p>
            <w:pPr>
              <w:jc w:val="center"/>
              <w:widowControl/>
              <w:rPr>
                <w:rFonts w:ascii="宋体" w:hAnsi="宋体" w:cs="宋体"/>
                <w:b/>
                <w:color w:val="000000"/>
                <w:sz w:val="20"/>
              </w:rPr>
            </w:pPr>
            <w:r>
              <w:rPr>
                <w:rFonts w:hint="eastAsia" w:ascii="宋体" w:hAnsi="宋体" w:cs="宋体"/>
                <w:b/>
                <w:sz w:val="20"/>
              </w:rPr>
              <w:t xml:space="preserve">承诺提供防爆轮胎以及其它增值服务项目的得4分，不提供不得分。</w:t>
            </w:r>
            <w:r>
              <w:rPr>
                <w:rFonts w:ascii="宋体" w:hAnsi="宋体" w:cs="宋体"/>
                <w:b/>
                <w:sz w:val="20"/>
              </w:rPr>
              <w:t xml:space="preserve">投标单位提供承诺函并加盖公章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9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92" w:type="pct"/>
            <w:vAlign w:val="center"/>
            <w:textDirection w:val="lrTb"/>
            <w:noWrap w:val="false"/>
          </w:tcPr>
          <w:p>
            <w:pPr>
              <w:jc w:val="center"/>
              <w:widowControl/>
              <w:rPr>
                <w:rFonts w:ascii="宋体" w:hAnsi="宋体"/>
                <w:b/>
              </w:rPr>
            </w:pPr>
            <w:r>
              <w:rPr>
                <w:rFonts w:hint="eastAsia" w:ascii="宋体" w:hAnsi="宋体"/>
                <w:b/>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1"/>
        <w:rPr>
          <w:rFonts w:ascii="黑体" w:eastAsia="黑体"/>
          <w:bCs/>
          <w:sz w:val="44"/>
        </w:rPr>
      </w:pPr>
      <w:r/>
      <w:bookmarkStart w:id="205"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5"/>
      <w:r>
        <w:rPr>
          <w:rFonts w:hint="eastAsia" w:ascii="黑体" w:eastAsia="黑体"/>
          <w:bCs/>
          <w:sz w:val="44"/>
        </w:rPr>
        <w:t xml:space="preserve"> </w:t>
      </w:r>
      <w:r/>
    </w:p>
    <w:p>
      <w:pPr>
        <w:jc w:val="center"/>
        <w:rPr>
          <w:rFonts w:ascii="宋体" w:hAnsi="宋体"/>
          <w:b/>
          <w:sz w:val="72"/>
        </w:rPr>
      </w:pPr>
      <w:r/>
      <w:bookmarkStart w:id="206" w:name="_Hlt26955039"/>
      <w:r/>
      <w:bookmarkStart w:id="207" w:name="_Hlt26671244"/>
      <w:r/>
      <w:bookmarkStart w:id="208" w:name="_Toc120614282"/>
      <w:r/>
      <w:bookmarkStart w:id="209" w:name="_Toc49090576"/>
      <w:r/>
      <w:bookmarkStart w:id="210" w:name="_Toc26554094"/>
      <w:r/>
      <w:bookmarkEnd w:id="206"/>
      <w:r/>
      <w:bookmarkEnd w:id="207"/>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二、法人授权书</w:t>
      </w:r>
      <w:r/>
    </w:p>
    <w:p>
      <w:pPr>
        <w:ind w:firstLine="480"/>
        <w:spacing w:line="440" w:lineRule="exact"/>
        <w:rPr>
          <w:rFonts w:ascii="宋体" w:hAnsi="宋体"/>
          <w:i/>
          <w:sz w:val="24"/>
          <w:u w:val="single"/>
        </w:rPr>
      </w:pPr>
      <w:r>
        <w:rPr>
          <w:rFonts w:hint="eastAsia" w:ascii="宋体" w:hAnsi="宋体"/>
          <w:i/>
          <w:sz w:val="24"/>
          <w:u w:val="single"/>
        </w:rPr>
        <w:t xml:space="preserve">三、投标函</w:t>
      </w:r>
      <w:r/>
    </w:p>
    <w:p>
      <w:pPr>
        <w:ind w:firstLine="480"/>
        <w:spacing w:line="440" w:lineRule="exact"/>
        <w:rPr>
          <w:rFonts w:ascii="宋体" w:hAnsi="宋体"/>
          <w:bCs w:val="0"/>
          <w:i w:val="0"/>
          <w:sz w:val="24"/>
          <w:u w:val="none"/>
        </w:rPr>
      </w:pPr>
      <w:r>
        <w:rPr>
          <w:rFonts w:hint="eastAsia" w:ascii="宋体" w:hAnsi="宋体"/>
          <w:i w:val="0"/>
          <w:iCs w:val="0"/>
          <w:sz w:val="24"/>
          <w:u w:val="none"/>
        </w:rPr>
        <w:t xml:space="preserve">四、</w:t>
      </w:r>
      <w:r>
        <w:rPr>
          <w:rFonts w:hint="eastAsia" w:ascii="宋体" w:hAnsi="宋体"/>
          <w:i w:val="0"/>
          <w:iCs w:val="0"/>
          <w:sz w:val="24"/>
          <w:u w:val="none"/>
        </w:rPr>
        <w:t xml:space="preserve">小微企业声明函</w:t>
      </w:r>
      <w:r>
        <w:rPr>
          <w:i w:val="0"/>
          <w:iCs w:val="0"/>
          <w:u w:val="none"/>
        </w:rPr>
      </w:r>
    </w:p>
    <w:p>
      <w:pPr>
        <w:ind w:firstLine="480"/>
        <w:spacing w:line="440" w:lineRule="exact"/>
        <w:rPr>
          <w:rFonts w:ascii="宋体" w:hAnsi="宋体"/>
          <w:i/>
          <w:sz w:val="24"/>
          <w:u w:val="single"/>
        </w:rPr>
      </w:pPr>
      <w:r>
        <w:rPr>
          <w:rFonts w:hint="eastAsia" w:ascii="宋体" w:hAnsi="宋体"/>
          <w:i w:val="0"/>
          <w:iCs w:val="0"/>
          <w:sz w:val="24"/>
          <w:u w:val="none"/>
        </w:rPr>
        <w:t xml:space="preserve">五、残疾人福利性单位声明函或监狱企业证明</w:t>
      </w:r>
      <w:r/>
    </w:p>
    <w:p>
      <w:pPr>
        <w:ind w:firstLine="480"/>
        <w:spacing w:line="440" w:lineRule="exact"/>
        <w:rPr>
          <w:rFonts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ascii="宋体" w:hAnsi="宋体"/>
          <w:sz w:val="24"/>
        </w:rPr>
      </w:pPr>
      <w:r>
        <w:rPr>
          <w:rFonts w:hint="eastAsia" w:ascii="宋体" w:hAnsi="宋体"/>
          <w:sz w:val="24"/>
        </w:rPr>
        <w:t xml:space="preserve">七、技术要求响应及偏离表</w:t>
      </w:r>
      <w:r/>
    </w:p>
    <w:p>
      <w:pPr>
        <w:ind w:firstLine="480"/>
        <w:spacing w:line="440" w:lineRule="exact"/>
        <w:rPr>
          <w:rFonts w:ascii="宋体" w:hAnsi="宋体"/>
          <w:sz w:val="24"/>
        </w:rPr>
      </w:pPr>
      <w:r>
        <w:rPr>
          <w:rFonts w:hint="eastAsia" w:ascii="宋体" w:hAnsi="宋体"/>
          <w:sz w:val="24"/>
        </w:rPr>
        <w:t xml:space="preserve">八、商务要求响应及偏离表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九、开标一览表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11" w:name="_Toc120614284"/>
      <w:r/>
      <w:bookmarkEnd w:id="208"/>
      <w:r/>
      <w:bookmarkEnd w:id="209"/>
      <w:r/>
      <w:bookmarkEnd w:id="210"/>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13"/>
        <w:ind w:firstLine="480"/>
        <w:spacing w:line="460" w:lineRule="exact"/>
      </w:pPr>
      <w:r>
        <w:rPr>
          <w:rFonts w:hint="eastAsia"/>
        </w:rPr>
        <w:t xml:space="preserve">致：常州市政府采购中心</w:t>
      </w:r>
      <w:r/>
    </w:p>
    <w:p>
      <w:pPr>
        <w:pStyle w:val="913"/>
        <w:ind w:firstLine="840"/>
        <w:spacing w:line="460" w:lineRule="exact"/>
        <w:rPr>
          <w:u w:val="single"/>
        </w:rPr>
      </w:pPr>
      <w:r>
        <w:rPr>
          <w:rFonts w:hint="eastAsia"/>
          <w:u w:val="single"/>
        </w:rPr>
        <w:t xml:space="preserve">（采购人名称）</w:t>
      </w:r>
      <w:r/>
    </w:p>
    <w:p>
      <w:pPr>
        <w:pStyle w:val="913"/>
        <w:ind w:firstLine="480"/>
        <w:spacing w:line="460" w:lineRule="exact"/>
      </w:pPr>
      <w:r>
        <w:rPr>
          <w:rFonts w:hint="eastAsia"/>
        </w:rPr>
        <w:t xml:space="preserve">按照《中华人民共和国政府采购法》第二十二条和招标文件的规定，我单位郑重声明如下：</w:t>
      </w:r>
      <w:r/>
    </w:p>
    <w:p>
      <w:pPr>
        <w:pStyle w:val="91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3"/>
        <w:ind w:firstLine="480"/>
        <w:spacing w:line="460" w:lineRule="exact"/>
      </w:pPr>
      <w:r>
        <w:rPr>
          <w:rFonts w:hint="eastAsia"/>
        </w:rPr>
        <w:t xml:space="preserve">二、我单位具有良好的商业信誉（指投标人经营状况良好，无本资格声明第十条情形）和健全的财务会计制度。</w:t>
      </w:r>
      <w:r/>
    </w:p>
    <w:p>
      <w:pPr>
        <w:pStyle w:val="913"/>
        <w:ind w:firstLine="480"/>
        <w:spacing w:line="460" w:lineRule="exact"/>
      </w:pPr>
      <w:r>
        <w:rPr>
          <w:rFonts w:hint="eastAsia"/>
        </w:rPr>
        <w:t xml:space="preserve">三、我单位依法进行纳税和社会保险申报并实际履行了义务。</w:t>
      </w:r>
      <w:r/>
    </w:p>
    <w:p>
      <w:pPr>
        <w:pStyle w:val="91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13"/>
        <w:ind w:firstLine="480"/>
        <w:spacing w:line="460" w:lineRule="exact"/>
      </w:pPr>
      <w:r>
        <w:rPr>
          <w:rFonts w:hint="eastAsia"/>
        </w:rPr>
        <w:t xml:space="preserve">主要设备有：</w:t>
      </w:r>
      <w:r>
        <w:rPr>
          <w:u w:val="single"/>
        </w:rPr>
        <w:t xml:space="preserve">            </w:t>
      </w:r>
      <w:r/>
    </w:p>
    <w:p>
      <w:pPr>
        <w:pStyle w:val="913"/>
        <w:ind w:firstLine="480"/>
        <w:spacing w:line="460" w:lineRule="exact"/>
      </w:pPr>
      <w:r>
        <w:rPr>
          <w:rFonts w:hint="eastAsia"/>
        </w:rPr>
        <w:t xml:space="preserve">主要专业技术能力有</w:t>
      </w:r>
      <w:r>
        <w:rPr>
          <w:rFonts w:hint="eastAsia"/>
          <w:u w:val="single"/>
        </w:rPr>
        <w:t xml:space="preserve">                 </w:t>
      </w:r>
      <w:r/>
    </w:p>
    <w:p>
      <w:pPr>
        <w:pStyle w:val="91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13"/>
        <w:ind w:firstLine="480"/>
        <w:spacing w:line="460" w:lineRule="exact"/>
      </w:pPr>
      <w:r>
        <w:rPr>
          <w:rFonts w:hint="eastAsia"/>
        </w:rPr>
        <w:t xml:space="preserve">六、我单位具备法律、行政法规规定的其他条件。</w:t>
      </w:r>
      <w:r/>
    </w:p>
    <w:p>
      <w:pPr>
        <w:pStyle w:val="91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3"/>
        <w:ind w:firstLine="480"/>
        <w:spacing w:line="460" w:lineRule="exact"/>
      </w:pPr>
      <w:r>
        <w:rPr>
          <w:rFonts w:hint="eastAsia"/>
        </w:rPr>
        <w:t xml:space="preserve">九、</w:t>
      </w:r>
      <w:r>
        <w:t xml:space="preserve">我单位</w:t>
      </w:r>
      <w:r>
        <w:t xml:space="preserve">无以下</w:t>
      </w:r>
      <w:r>
        <w:t xml:space="preserve">不良信用记录情形：</w:t>
      </w:r>
      <w:r/>
    </w:p>
    <w:p>
      <w:pPr>
        <w:pStyle w:val="913"/>
        <w:ind w:firstLine="480"/>
        <w:spacing w:line="460" w:lineRule="exact"/>
      </w:pPr>
      <w:r>
        <w:t xml:space="preserve">1</w:t>
      </w:r>
      <w:r>
        <w:rPr>
          <w:rFonts w:hint="eastAsia"/>
        </w:rPr>
        <w:t xml:space="preserve">、在“信用中国”网站被列入失信被执行人和重大税收违法案件当事人名单；</w:t>
      </w:r>
      <w:r/>
    </w:p>
    <w:p>
      <w:pPr>
        <w:pStyle w:val="913"/>
        <w:ind w:firstLine="480"/>
        <w:spacing w:line="460" w:lineRule="exact"/>
      </w:pPr>
      <w:r>
        <w:t xml:space="preserve">2</w:t>
      </w:r>
      <w:r>
        <w:rPr>
          <w:rFonts w:hint="eastAsia"/>
        </w:rPr>
        <w:t xml:space="preserve">、在“中国政府采购网”网站被列入政府采购严重违法失信行为记录名单；</w:t>
      </w:r>
      <w:r/>
    </w:p>
    <w:p>
      <w:pPr>
        <w:pStyle w:val="913"/>
        <w:ind w:firstLine="480"/>
        <w:spacing w:line="460" w:lineRule="exact"/>
      </w:pPr>
      <w:r>
        <w:t xml:space="preserve">3</w:t>
      </w:r>
      <w:r>
        <w:rPr>
          <w:rFonts w:hint="eastAsia"/>
        </w:rPr>
        <w:t xml:space="preserve">、</w:t>
      </w:r>
      <w:r>
        <w:t xml:space="preserve">不符合《政府采购法》第二十二条规定的条件。</w:t>
      </w:r>
      <w:r/>
    </w:p>
    <w:p>
      <w:pPr>
        <w:pStyle w:val="913"/>
        <w:ind w:firstLine="480"/>
        <w:spacing w:line="460" w:lineRule="exact"/>
      </w:pPr>
      <w:r/>
      <w:r/>
    </w:p>
    <w:p>
      <w:pPr>
        <w:pStyle w:val="91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3"/>
        <w:ind w:firstLine="480"/>
        <w:spacing w:line="460" w:lineRule="exact"/>
      </w:pPr>
      <w:r/>
      <w:r/>
    </w:p>
    <w:p>
      <w:pPr>
        <w:pStyle w:val="913"/>
        <w:ind w:firstLine="480"/>
        <w:spacing w:line="460" w:lineRule="exact"/>
      </w:pPr>
      <w:r/>
      <w:r/>
    </w:p>
    <w:p>
      <w:pPr>
        <w:pStyle w:val="913"/>
        <w:ind w:firstLine="480"/>
        <w:spacing w:line="460" w:lineRule="exact"/>
      </w:pPr>
      <w:r>
        <w:rPr>
          <w:rFonts w:hint="eastAsia"/>
        </w:rPr>
        <w:t xml:space="preserve">                                            </w:t>
      </w:r>
      <w:r>
        <w:rPr>
          <w:rFonts w:hint="eastAsia"/>
        </w:rPr>
        <w:t xml:space="preserve">投标人：（加盖公章）</w:t>
      </w:r>
      <w:r/>
    </w:p>
    <w:p>
      <w:pPr>
        <w:pStyle w:val="913"/>
        <w:ind w:firstLine="480"/>
        <w:spacing w:line="460" w:lineRule="exact"/>
      </w:pPr>
      <w:r>
        <w:rPr>
          <w:rFonts w:hint="eastAsia"/>
        </w:rPr>
        <w:t xml:space="preserve">                                           </w:t>
      </w:r>
      <w:r>
        <w:rPr>
          <w:rFonts w:hint="eastAsia"/>
        </w:rPr>
        <w:t xml:space="preserve">法定代表人（或单位负责人）签字或盖章：</w:t>
      </w:r>
      <w:r/>
    </w:p>
    <w:p>
      <w:pPr>
        <w:pStyle w:val="91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7"/>
          <w:footerReference w:type="first" r:id="rId18"/>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85"/>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85"/>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85"/>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85"/>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85"/>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85"/>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85"/>
        <w:ind w:firstLine="480"/>
        <w:rPr>
          <w:sz w:val="24"/>
          <w:szCs w:val="24"/>
        </w:rPr>
      </w:pPr>
      <w:r>
        <w:rPr>
          <w:rFonts w:hint="eastAsia"/>
          <w:sz w:val="24"/>
          <w:szCs w:val="24"/>
        </w:rPr>
        <w:t xml:space="preserve">      </w:t>
      </w:r>
      <w:r>
        <w:rPr>
          <w:rFonts w:hint="eastAsia"/>
          <w:sz w:val="24"/>
          <w:szCs w:val="24"/>
        </w:rPr>
        <w:t xml:space="preserve">日期：</w:t>
      </w:r>
      <w:bookmarkStart w:id="212" w:name="_Hlt26955070"/>
      <w:r/>
      <w:bookmarkStart w:id="213" w:name="_格式3__银行出具的资信证明"/>
      <w:r/>
      <w:bookmarkStart w:id="214" w:name="_Hlt26671380"/>
      <w:r/>
      <w:bookmarkEnd w:id="212"/>
      <w:r/>
      <w:bookmarkEnd w:id="213"/>
      <w:r/>
      <w:bookmarkEnd w:id="214"/>
      <w:r>
        <w:rPr>
          <w:rFonts w:hint="eastAsia"/>
          <w:sz w:val="24"/>
          <w:szCs w:val="24"/>
          <w:u w:val="single"/>
        </w:rPr>
        <w:t xml:space="preserve">                                         </w:t>
      </w:r>
      <w:r/>
    </w:p>
    <w:p>
      <w:pPr>
        <w:pStyle w:val="913"/>
        <w:rPr>
          <w:i/>
          <w:sz w:val="24"/>
          <w:szCs w:val="24"/>
          <w:u w:val="single"/>
        </w:rPr>
      </w:pPr>
      <w:r>
        <w:rPr>
          <w:i/>
          <w:sz w:val="24"/>
          <w:szCs w:val="24"/>
          <w:u w:val="single"/>
        </w:rPr>
      </w:r>
      <w:r/>
    </w:p>
    <w:p>
      <w:pPr>
        <w:pStyle w:val="91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jc w:val="center"/>
        <w:rPr>
          <w:rFonts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、投标函</w:t>
      </w:r>
      <w:r/>
    </w:p>
    <w:p>
      <w:pPr>
        <w:pStyle w:val="987"/>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87"/>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87"/>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8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8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8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7"/>
        <w:ind w:left="420"/>
        <w:spacing w:before="0" w:after="0" w:line="420" w:lineRule="exact"/>
        <w:rPr>
          <w:rFonts w:ascii="宋体" w:hAnsi="宋体"/>
          <w:szCs w:val="21"/>
        </w:rPr>
      </w:pPr>
      <w:r>
        <w:rPr>
          <w:rFonts w:hint="eastAsia" w:ascii="宋体" w:hAnsi="宋体"/>
          <w:szCs w:val="21"/>
        </w:rPr>
        <w:t xml:space="preserve">地          址：</w:t>
      </w:r>
      <w:r/>
    </w:p>
    <w:p>
      <w:pPr>
        <w:pStyle w:val="987"/>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87"/>
        <w:ind w:left="420"/>
        <w:spacing w:before="0" w:after="0" w:line="420" w:lineRule="exact"/>
        <w:rPr>
          <w:rFonts w:ascii="宋体" w:hAnsi="宋体"/>
          <w:szCs w:val="21"/>
        </w:rPr>
      </w:pPr>
      <w:r>
        <w:rPr>
          <w:rFonts w:hint="eastAsia" w:ascii="宋体" w:hAnsi="宋体"/>
          <w:szCs w:val="21"/>
        </w:rPr>
        <w:t xml:space="preserve">电          话：</w:t>
      </w:r>
      <w:r/>
    </w:p>
    <w:p>
      <w:pPr>
        <w:pStyle w:val="987"/>
        <w:ind w:left="420"/>
        <w:spacing w:before="0" w:after="0" w:line="420" w:lineRule="exact"/>
        <w:rPr>
          <w:rFonts w:ascii="宋体" w:hAnsi="宋体"/>
          <w:szCs w:val="21"/>
        </w:rPr>
      </w:pPr>
      <w:r>
        <w:rPr>
          <w:rFonts w:hint="eastAsia" w:ascii="宋体" w:hAnsi="宋体"/>
          <w:szCs w:val="21"/>
        </w:rPr>
        <w:t xml:space="preserve">传          真：</w:t>
      </w:r>
      <w:r/>
    </w:p>
    <w:p>
      <w:pPr>
        <w:pStyle w:val="987"/>
        <w:ind w:left="420"/>
        <w:spacing w:before="0" w:after="0" w:line="420" w:lineRule="exact"/>
        <w:rPr>
          <w:rFonts w:ascii="宋体" w:hAnsi="宋体"/>
          <w:szCs w:val="21"/>
        </w:rPr>
      </w:pPr>
      <w:r>
        <w:rPr>
          <w:rFonts w:hint="eastAsia" w:ascii="宋体" w:hAnsi="宋体"/>
          <w:szCs w:val="21"/>
        </w:rPr>
        <w:t xml:space="preserve">投标人开户行：</w:t>
      </w:r>
      <w:r/>
    </w:p>
    <w:p>
      <w:pPr>
        <w:pStyle w:val="987"/>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8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w:t>
      </w:r>
      <w:r>
        <w:rPr>
          <w:rFonts w:hint="eastAsia" w:ascii="黑体" w:hAnsi="黑体" w:eastAsia="黑体"/>
          <w:b/>
          <w:color w:val="000000"/>
          <w:sz w:val="32"/>
          <w:szCs w:val="32"/>
        </w:rPr>
        <w:t xml:space="preserve">微企业</w:t>
      </w:r>
      <w:r>
        <w:rPr>
          <w:rFonts w:hint="eastAsia" w:ascii="黑体" w:hAnsi="黑体" w:eastAsia="黑体"/>
          <w:b/>
          <w:color w:val="000000"/>
          <w:sz w:val="32"/>
          <w:szCs w:val="32"/>
        </w:rPr>
        <w:t xml:space="preserve">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w:t>
      </w:r>
      <w:r>
        <w:rPr>
          <w:rFonts w:hint="eastAsia" w:ascii="黑体" w:hAnsi="黑体" w:eastAsia="黑体"/>
          <w:b/>
          <w:sz w:val="32"/>
          <w:szCs w:val="32"/>
        </w:rPr>
        <w:t xml:space="preserve">、残疾人福利性单位声明函（分包号：**）</w:t>
      </w:r>
      <w:r/>
    </w:p>
    <w:p>
      <w:pPr>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w:t>
      </w:r>
      <w:r>
        <w:rPr>
          <w:rFonts w:hint="eastAsia" w:ascii="宋体" w:hAnsi="宋体"/>
          <w:color w:val="000000"/>
          <w:sz w:val="24"/>
        </w:rPr>
        <w:t xml:space="preserve">承包方式，“投标总报价”应包括所投货物（包含与货物相关的服务）费用、安装调试费、</w:t>
      </w:r>
      <w:r>
        <w:rPr>
          <w:rFonts w:hint="eastAsia" w:ascii="宋体" w:hAnsi="宋体"/>
          <w:color w:val="000000"/>
          <w:sz w:val="24"/>
        </w:rPr>
        <w:t xml:space="preserve">测试验</w:t>
      </w:r>
      <w:r>
        <w:rPr>
          <w:rFonts w:hint="eastAsia" w:ascii="宋体" w:hAnsi="宋体"/>
          <w:color w:val="000000"/>
          <w:sz w:val="24"/>
        </w:rPr>
        <w:t xml:space="preserve">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color w:val="000000"/>
        </w:rPr>
        <w:t xml:space="preserve">“</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15" w:name="_Hlt26955054"/>
      <w:r/>
      <w:bookmarkEnd w:id="211"/>
      <w:r/>
      <w:bookmarkEnd w:id="215"/>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6" w:name="_Hlt26580838"/>
            <w:r/>
            <w:bookmarkStart w:id="217" w:name="_Hlt26609391"/>
            <w:r/>
            <w:bookmarkStart w:id="218" w:name="_Hlt24879081"/>
            <w:r/>
            <w:bookmarkStart w:id="219" w:name="_Hlt26955064"/>
            <w:r/>
            <w:bookmarkStart w:id="220" w:name="_Hlt26671343"/>
            <w:r/>
            <w:bookmarkStart w:id="221" w:name="_Hlt26782999"/>
            <w:r/>
            <w:bookmarkStart w:id="222" w:name="_Hlt26671372"/>
            <w:r/>
            <w:bookmarkStart w:id="223" w:name="_Hlt26955056"/>
            <w:r/>
            <w:bookmarkEnd w:id="216"/>
            <w:r/>
            <w:bookmarkEnd w:id="217"/>
            <w:r/>
            <w:bookmarkEnd w:id="218"/>
            <w:r/>
            <w:bookmarkEnd w:id="219"/>
            <w:r/>
            <w:bookmarkEnd w:id="220"/>
            <w:r/>
            <w:bookmarkEnd w:id="221"/>
            <w:r/>
            <w:bookmarkEnd w:id="222"/>
            <w:r/>
            <w:bookmarkEnd w:id="223"/>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13"/>
        <w:ind w:firstLine="0"/>
        <w:rPr>
          <w:rFonts w:ascii="宋体" w:hAnsi="宋体"/>
          <w:sz w:val="24"/>
        </w:rPr>
      </w:pPr>
      <w:r/>
      <w:bookmarkStart w:id="224" w:name="_Hlt26671374"/>
      <w:r/>
      <w:bookmarkStart w:id="225" w:name="_Hlt26609389"/>
      <w:r/>
      <w:bookmarkStart w:id="226" w:name="_Hlt26955066"/>
      <w:r/>
      <w:bookmarkStart w:id="227" w:name="_Toc462564146"/>
      <w:r/>
      <w:bookmarkEnd w:id="224"/>
      <w:r/>
      <w:bookmarkEnd w:id="225"/>
      <w:r/>
      <w:bookmarkEnd w:id="226"/>
      <w:r/>
      <w:r/>
    </w:p>
    <w:p>
      <w:pPr>
        <w:jc w:val="center"/>
        <w:rPr>
          <w:rFonts w:ascii="黑体" w:hAnsi="黑体" w:eastAsia="黑体"/>
          <w:b/>
          <w:sz w:val="32"/>
          <w:szCs w:val="32"/>
        </w:rPr>
      </w:pPr>
      <w:r/>
      <w:bookmarkStart w:id="228" w:name="_格式2__法定代表人授权书"/>
      <w:r/>
      <w:bookmarkEnd w:id="199"/>
      <w:r/>
      <w:bookmarkEnd w:id="200"/>
      <w:r/>
      <w:bookmarkEnd w:id="227"/>
      <w:r/>
      <w:bookmarkEnd w:id="228"/>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left"/>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w:t>
      </w:r>
      <w:r>
        <w:rPr>
          <w:rFonts w:hint="eastAsia" w:ascii="黑体" w:hAnsi="黑体" w:eastAsia="黑体"/>
          <w:b/>
          <w:sz w:val="32"/>
          <w:szCs w:val="32"/>
        </w:rPr>
        <w:t xml:space="preserve">模板</w:t>
      </w:r>
      <w:r>
        <w:rPr>
          <w:rFonts w:hint="eastAsia" w:ascii="黑体" w:hAnsi="黑体" w:eastAsia="黑体"/>
          <w:b/>
          <w:sz w:val="32"/>
          <w:szCs w:val="32"/>
        </w:rPr>
        <w:t xml:space="preserve">编制和评审要求</w:t>
      </w:r>
      <w:r/>
    </w:p>
    <w:p>
      <w:pPr>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w:t>
      </w:r>
      <w:r>
        <w:rPr>
          <w:rFonts w:hint="eastAsia" w:ascii="宋体" w:hAnsi="宋体" w:cs="宋体"/>
          <w:b/>
          <w:bCs/>
          <w:color w:val="c00000"/>
          <w:sz w:val="24"/>
          <w:szCs w:val="24"/>
          <w:u w:val="single"/>
        </w:rPr>
        <w:t xml:space="preserve">作出</w:t>
      </w:r>
      <w:r>
        <w:rPr>
          <w:rFonts w:hint="eastAsia" w:ascii="宋体" w:hAnsi="宋体" w:cs="宋体"/>
          <w:b/>
          <w:bCs/>
          <w:color w:val="c00000"/>
          <w:sz w:val="24"/>
          <w:szCs w:val="24"/>
          <w:u w:val="single"/>
        </w:rPr>
        <w:t xml:space="preserve">调整，</w:t>
      </w:r>
      <w:r>
        <w:rPr>
          <w:rFonts w:hint="eastAsia" w:ascii="宋体" w:hAnsi="宋体" w:cs="宋体"/>
          <w:b/>
          <w:bCs/>
          <w:color w:val="000000"/>
          <w:sz w:val="24"/>
          <w:szCs w:val="24"/>
        </w:rPr>
        <w:t xml:space="preserve">供应</w:t>
      </w:r>
      <w:r>
        <w:rPr>
          <w:rFonts w:hint="eastAsia" w:ascii="宋体" w:hAnsi="宋体" w:cs="宋体"/>
          <w:b/>
          <w:bCs/>
          <w:color w:val="000000"/>
          <w:sz w:val="24"/>
          <w:szCs w:val="24"/>
        </w:rPr>
        <w:t xml:space="preserve">商</w:t>
      </w:r>
      <w:r>
        <w:rPr>
          <w:rFonts w:hint="eastAsia" w:ascii="宋体" w:hAnsi="宋体" w:cs="宋体"/>
          <w:b/>
          <w:bCs/>
          <w:color w:val="ff0000"/>
          <w:sz w:val="24"/>
          <w:szCs w:val="24"/>
          <w:u w:val="single"/>
        </w:rPr>
        <w:t xml:space="preserve">按照</w:t>
      </w:r>
      <w:r>
        <w:rPr>
          <w:rFonts w:hint="eastAsia" w:ascii="宋体" w:hAnsi="宋体" w:cs="宋体"/>
          <w:b/>
          <w:bCs/>
          <w:color w:val="ff0000"/>
          <w:sz w:val="24"/>
          <w:szCs w:val="24"/>
          <w:u w:val="single"/>
        </w:rPr>
        <w:t xml:space="preserve">制作工具显示的栏目编制即可</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183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6237"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1839"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由评委审查，无需供应商提供材料，报价合理的予以通过。根据</w:t>
            </w:r>
            <w:r>
              <w:rPr>
                <w:rFonts w:hint="eastAsia" w:ascii="宋体" w:hAnsi="宋体" w:cs="宋体"/>
                <w:color w:val="000000"/>
              </w:rPr>
              <w:t xml:space="preserve">苏财购〔2025〕</w:t>
            </w:r>
            <w:r>
              <w:rPr>
                <w:rFonts w:hint="eastAsia" w:ascii="宋体" w:hAnsi="宋体" w:cs="宋体"/>
                <w:color w:val="000000"/>
              </w:rPr>
              <w:t xml:space="preserve">62号文件规定，评审中出现下列情形之一的，评标委员会</w:t>
            </w:r>
            <w:r>
              <w:rPr>
                <w:rFonts w:hint="eastAsia" w:ascii="宋体" w:hAnsi="宋体" w:cs="宋体"/>
                <w:color w:val="000000"/>
              </w:rPr>
              <w:t xml:space="preserve">（评审小组）应当启动异常低价投标（响应）审查程序：1）投标（响应）报价低于采购项目预算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hint="eastAsia" w:ascii="宋体" w:hAnsi="宋体" w:cs="宋体"/>
                <w:color w:val="000000"/>
              </w:rPr>
              <w:t xml:space="preserve">作出</w:t>
            </w:r>
            <w:r>
              <w:rPr>
                <w:rFonts w:hint="eastAsia" w:ascii="宋体" w:hAnsi="宋体" w:cs="宋体"/>
                <w:color w:val="000000"/>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280"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183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6237"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2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183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623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13"/>
        <w:rPr>
          <w:sz w:val="24"/>
          <w:szCs w:val="24"/>
        </w:rPr>
      </w:pPr>
      <w:r>
        <w:rPr>
          <w:sz w:val="24"/>
          <w:szCs w:val="24"/>
        </w:rPr>
      </w:r>
      <w:r/>
    </w:p>
    <w:p>
      <w:pPr>
        <w:pStyle w:val="913"/>
        <w:rPr>
          <w:sz w:val="24"/>
          <w:szCs w:val="24"/>
        </w:rPr>
      </w:pPr>
      <w:r>
        <w:rPr>
          <w:sz w:val="24"/>
          <w:szCs w:val="24"/>
        </w:rPr>
      </w:r>
      <w:r/>
    </w:p>
    <w:p>
      <w:r/>
      <w:r/>
    </w:p>
    <w:sectPr>
      <w:headerReference w:type="default" r:id="rId12"/>
      <w:footerReference w:type="default" r:id="rId19"/>
      <w:footerReference w:type="even" r:id="rId2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p>
    <w:pPr>
      <w:pStyle w:val="925"/>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25"/>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6"/>
      <w:isLgl w:val="false"/>
      <w:suff w:val="nothing"/>
      <w:lvlText w:val=""/>
      <w:lvlJc w:val="left"/>
      <w:pPr>
        <w:ind w:left="0" w:firstLine="0"/>
      </w:pPr>
      <w:rPr>
        <w:rFonts w:hint="eastAsia"/>
      </w:rPr>
    </w:lvl>
    <w:lvl w:ilvl="6">
      <w:start w:val="1"/>
      <w:numFmt w:val="none"/>
      <w:pStyle w:val="907"/>
      <w:isLgl w:val="false"/>
      <w:suff w:val="nothing"/>
      <w:lvlText w:val=""/>
      <w:lvlJc w:val="left"/>
      <w:pPr>
        <w:ind w:left="0" w:firstLine="0"/>
      </w:pPr>
      <w:rPr>
        <w:rFonts w:hint="eastAsia"/>
      </w:rPr>
    </w:lvl>
    <w:lvl w:ilvl="7">
      <w:start w:val="1"/>
      <w:numFmt w:val="none"/>
      <w:pStyle w:val="908"/>
      <w:isLgl w:val="false"/>
      <w:suff w:val="nothing"/>
      <w:lvlText w:val=""/>
      <w:lvlJc w:val="left"/>
      <w:pPr>
        <w:ind w:left="0" w:firstLine="0"/>
      </w:pPr>
      <w:rPr>
        <w:rFonts w:hint="eastAsia"/>
      </w:rPr>
    </w:lvl>
    <w:lvl w:ilvl="8">
      <w:start w:val="1"/>
      <w:numFmt w:val="none"/>
      <w:pStyle w:val="909"/>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8"/>
  </w:num>
  <w:num w:numId="3">
    <w:abstractNumId w:val="14"/>
  </w:num>
  <w:num w:numId="4">
    <w:abstractNumId w:val="18"/>
  </w:num>
  <w:num w:numId="5">
    <w:abstractNumId w:val="2"/>
  </w:num>
  <w:num w:numId="6">
    <w:abstractNumId w:val="7"/>
  </w:num>
  <w:num w:numId="7">
    <w:abstractNumId w:val="4"/>
  </w:num>
  <w:num w:numId="8">
    <w:abstractNumId w:val="3"/>
  </w:num>
  <w:num w:numId="9">
    <w:abstractNumId w:val="1"/>
  </w:num>
  <w:num w:numId="10">
    <w:abstractNumId w:val="5"/>
  </w:num>
  <w:num w:numId="11">
    <w:abstractNumId w:val="10"/>
  </w:num>
  <w:num w:numId="12">
    <w:abstractNumId w:val="19"/>
  </w:num>
  <w:num w:numId="13">
    <w:abstractNumId w:val="0"/>
  </w:num>
  <w:num w:numId="14">
    <w:abstractNumId w:val="15"/>
  </w:num>
  <w:num w:numId="15">
    <w:abstractNumId w:val="12"/>
  </w:num>
  <w:num w:numId="16">
    <w:abstractNumId w:val="6"/>
  </w:num>
  <w:num w:numId="17">
    <w:abstractNumId w:val="9"/>
  </w:num>
  <w:num w:numId="18">
    <w:abstractNumId w:val="13"/>
  </w:num>
  <w:num w:numId="19">
    <w:abstractNumId w:val="17"/>
  </w:num>
  <w:num w:numId="20">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0"/>
    <w:link w:val="901"/>
    <w:uiPriority w:val="9"/>
    <w:rPr>
      <w:rFonts w:ascii="Arial" w:hAnsi="Arial" w:eastAsia="Arial" w:cs="Arial"/>
      <w:sz w:val="40"/>
      <w:szCs w:val="40"/>
    </w:rPr>
  </w:style>
  <w:style w:type="character" w:styleId="15">
    <w:name w:val="Heading 2 Char"/>
    <w:basedOn w:val="910"/>
    <w:link w:val="902"/>
    <w:uiPriority w:val="9"/>
    <w:rPr>
      <w:rFonts w:ascii="Arial" w:hAnsi="Arial" w:eastAsia="Arial" w:cs="Arial"/>
      <w:sz w:val="34"/>
    </w:rPr>
  </w:style>
  <w:style w:type="character" w:styleId="17">
    <w:name w:val="Heading 3 Char"/>
    <w:basedOn w:val="910"/>
    <w:link w:val="903"/>
    <w:uiPriority w:val="9"/>
    <w:rPr>
      <w:rFonts w:ascii="Arial" w:hAnsi="Arial" w:eastAsia="Arial" w:cs="Arial"/>
      <w:sz w:val="30"/>
      <w:szCs w:val="30"/>
    </w:rPr>
  </w:style>
  <w:style w:type="character" w:styleId="19">
    <w:name w:val="Heading 4 Char"/>
    <w:basedOn w:val="910"/>
    <w:link w:val="904"/>
    <w:uiPriority w:val="9"/>
    <w:rPr>
      <w:rFonts w:ascii="Arial" w:hAnsi="Arial" w:eastAsia="Arial" w:cs="Arial"/>
      <w:b/>
      <w:bCs/>
      <w:sz w:val="26"/>
      <w:szCs w:val="26"/>
    </w:rPr>
  </w:style>
  <w:style w:type="character" w:styleId="21">
    <w:name w:val="Heading 5 Char"/>
    <w:basedOn w:val="910"/>
    <w:link w:val="905"/>
    <w:uiPriority w:val="9"/>
    <w:rPr>
      <w:rFonts w:ascii="Arial" w:hAnsi="Arial" w:eastAsia="Arial" w:cs="Arial"/>
      <w:b/>
      <w:bCs/>
      <w:sz w:val="24"/>
      <w:szCs w:val="24"/>
    </w:rPr>
  </w:style>
  <w:style w:type="character" w:styleId="23">
    <w:name w:val="Heading 6 Char"/>
    <w:basedOn w:val="910"/>
    <w:link w:val="906"/>
    <w:uiPriority w:val="9"/>
    <w:rPr>
      <w:rFonts w:ascii="Arial" w:hAnsi="Arial" w:eastAsia="Arial" w:cs="Arial"/>
      <w:b/>
      <w:bCs/>
      <w:sz w:val="22"/>
      <w:szCs w:val="22"/>
    </w:rPr>
  </w:style>
  <w:style w:type="character" w:styleId="25">
    <w:name w:val="Heading 7 Char"/>
    <w:basedOn w:val="910"/>
    <w:link w:val="907"/>
    <w:uiPriority w:val="9"/>
    <w:rPr>
      <w:rFonts w:ascii="Arial" w:hAnsi="Arial" w:eastAsia="Arial" w:cs="Arial"/>
      <w:b/>
      <w:bCs/>
      <w:i/>
      <w:iCs/>
      <w:sz w:val="22"/>
      <w:szCs w:val="22"/>
    </w:rPr>
  </w:style>
  <w:style w:type="character" w:styleId="27">
    <w:name w:val="Heading 8 Char"/>
    <w:basedOn w:val="910"/>
    <w:link w:val="908"/>
    <w:uiPriority w:val="9"/>
    <w:rPr>
      <w:rFonts w:ascii="Arial" w:hAnsi="Arial" w:eastAsia="Arial" w:cs="Arial"/>
      <w:i/>
      <w:iCs/>
      <w:sz w:val="22"/>
      <w:szCs w:val="22"/>
    </w:rPr>
  </w:style>
  <w:style w:type="character" w:styleId="29">
    <w:name w:val="Heading 9 Char"/>
    <w:basedOn w:val="910"/>
    <w:link w:val="909"/>
    <w:uiPriority w:val="9"/>
    <w:rPr>
      <w:rFonts w:ascii="Arial" w:hAnsi="Arial" w:eastAsia="Arial" w:cs="Arial"/>
      <w:i/>
      <w:iCs/>
      <w:sz w:val="21"/>
      <w:szCs w:val="21"/>
    </w:rPr>
  </w:style>
  <w:style w:type="paragraph" w:styleId="30">
    <w:name w:val="List Paragraph"/>
    <w:basedOn w:val="900"/>
    <w:uiPriority w:val="34"/>
    <w:qFormat/>
    <w:pPr>
      <w:contextualSpacing/>
      <w:ind w:left="720"/>
    </w:pPr>
  </w:style>
  <w:style w:type="paragraph" w:styleId="33">
    <w:name w:val="Title"/>
    <w:basedOn w:val="900"/>
    <w:next w:val="900"/>
    <w:link w:val="34"/>
    <w:uiPriority w:val="10"/>
    <w:qFormat/>
    <w:pPr>
      <w:contextualSpacing/>
      <w:spacing w:before="300" w:after="200"/>
    </w:pPr>
    <w:rPr>
      <w:sz w:val="48"/>
      <w:szCs w:val="48"/>
    </w:rPr>
  </w:style>
  <w:style w:type="character" w:styleId="34">
    <w:name w:val="Title Char"/>
    <w:basedOn w:val="910"/>
    <w:link w:val="33"/>
    <w:uiPriority w:val="10"/>
    <w:rPr>
      <w:sz w:val="48"/>
      <w:szCs w:val="48"/>
    </w:rPr>
  </w:style>
  <w:style w:type="paragraph" w:styleId="35">
    <w:name w:val="Subtitle"/>
    <w:basedOn w:val="900"/>
    <w:next w:val="900"/>
    <w:link w:val="36"/>
    <w:uiPriority w:val="11"/>
    <w:qFormat/>
    <w:pPr>
      <w:spacing w:before="200" w:after="200"/>
    </w:pPr>
    <w:rPr>
      <w:sz w:val="24"/>
      <w:szCs w:val="24"/>
    </w:rPr>
  </w:style>
  <w:style w:type="character" w:styleId="36">
    <w:name w:val="Subtitle Char"/>
    <w:basedOn w:val="910"/>
    <w:link w:val="35"/>
    <w:uiPriority w:val="11"/>
    <w:rPr>
      <w:sz w:val="24"/>
      <w:szCs w:val="24"/>
    </w:rPr>
  </w:style>
  <w:style w:type="paragraph" w:styleId="37">
    <w:name w:val="Quote"/>
    <w:basedOn w:val="900"/>
    <w:next w:val="900"/>
    <w:link w:val="38"/>
    <w:uiPriority w:val="29"/>
    <w:qFormat/>
    <w:pPr>
      <w:ind w:left="720" w:right="720"/>
    </w:pPr>
    <w:rPr>
      <w:i/>
    </w:rPr>
  </w:style>
  <w:style w:type="character" w:styleId="38">
    <w:name w:val="Quote Char"/>
    <w:link w:val="37"/>
    <w:uiPriority w:val="29"/>
    <w:rPr>
      <w:i/>
    </w:rPr>
  </w:style>
  <w:style w:type="paragraph" w:styleId="39">
    <w:name w:val="Intense Quote"/>
    <w:basedOn w:val="900"/>
    <w:next w:val="9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0"/>
    <w:link w:val="926"/>
    <w:uiPriority w:val="99"/>
  </w:style>
  <w:style w:type="character" w:styleId="44">
    <w:name w:val="Footer Char"/>
    <w:basedOn w:val="910"/>
    <w:link w:val="925"/>
    <w:uiPriority w:val="99"/>
  </w:style>
  <w:style w:type="paragraph" w:styleId="45">
    <w:name w:val="Caption"/>
    <w:basedOn w:val="900"/>
    <w:next w:val="900"/>
    <w:uiPriority w:val="35"/>
    <w:semiHidden/>
    <w:unhideWhenUsed/>
    <w:qFormat/>
    <w:pPr>
      <w:spacing w:line="276" w:lineRule="auto"/>
    </w:pPr>
    <w:rPr>
      <w:b/>
      <w:bCs/>
      <w:color w:val="4f81bd" w:themeColor="accent1"/>
      <w:sz w:val="18"/>
      <w:szCs w:val="18"/>
    </w:rPr>
  </w:style>
  <w:style w:type="character" w:styleId="46">
    <w:name w:val="Caption Char"/>
    <w:basedOn w:val="45"/>
    <w:link w:val="925"/>
    <w:uiPriority w:val="99"/>
  </w:style>
  <w:style w:type="table" w:styleId="4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0"/>
    <w:uiPriority w:val="99"/>
    <w:unhideWhenUsed/>
    <w:rPr>
      <w:vertAlign w:val="superscript"/>
    </w:rPr>
  </w:style>
  <w:style w:type="paragraph" w:styleId="177">
    <w:name w:val="endnote text"/>
    <w:basedOn w:val="9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0"/>
    <w:uiPriority w:val="99"/>
    <w:semiHidden/>
    <w:unhideWhenUsed/>
    <w:rPr>
      <w:vertAlign w:val="superscript"/>
    </w:rPr>
  </w:style>
  <w:style w:type="paragraph" w:styleId="181">
    <w:name w:val="toc 2"/>
    <w:basedOn w:val="900"/>
    <w:next w:val="900"/>
    <w:uiPriority w:val="39"/>
    <w:unhideWhenUsed/>
    <w:pPr>
      <w:ind w:left="283" w:right="0" w:firstLine="0"/>
      <w:spacing w:after="57"/>
    </w:pPr>
  </w:style>
  <w:style w:type="paragraph" w:styleId="182">
    <w:name w:val="toc 3"/>
    <w:basedOn w:val="900"/>
    <w:next w:val="900"/>
    <w:uiPriority w:val="39"/>
    <w:unhideWhenUsed/>
    <w:pPr>
      <w:ind w:left="567" w:right="0" w:firstLine="0"/>
      <w:spacing w:after="57"/>
    </w:pPr>
  </w:style>
  <w:style w:type="paragraph" w:styleId="183">
    <w:name w:val="toc 4"/>
    <w:basedOn w:val="900"/>
    <w:next w:val="900"/>
    <w:uiPriority w:val="39"/>
    <w:unhideWhenUsed/>
    <w:pPr>
      <w:ind w:left="850" w:right="0" w:firstLine="0"/>
      <w:spacing w:after="57"/>
    </w:pPr>
  </w:style>
  <w:style w:type="paragraph" w:styleId="184">
    <w:name w:val="toc 5"/>
    <w:basedOn w:val="900"/>
    <w:next w:val="900"/>
    <w:uiPriority w:val="39"/>
    <w:unhideWhenUsed/>
    <w:pPr>
      <w:ind w:left="1134" w:right="0" w:firstLine="0"/>
      <w:spacing w:after="57"/>
    </w:pPr>
  </w:style>
  <w:style w:type="paragraph" w:styleId="185">
    <w:name w:val="toc 6"/>
    <w:basedOn w:val="900"/>
    <w:next w:val="900"/>
    <w:uiPriority w:val="39"/>
    <w:unhideWhenUsed/>
    <w:pPr>
      <w:ind w:left="1417" w:right="0" w:firstLine="0"/>
      <w:spacing w:after="57"/>
    </w:pPr>
  </w:style>
  <w:style w:type="paragraph" w:styleId="186">
    <w:name w:val="toc 7"/>
    <w:basedOn w:val="900"/>
    <w:next w:val="900"/>
    <w:uiPriority w:val="39"/>
    <w:unhideWhenUsed/>
    <w:pPr>
      <w:ind w:left="1701" w:right="0" w:firstLine="0"/>
      <w:spacing w:after="57"/>
    </w:pPr>
  </w:style>
  <w:style w:type="paragraph" w:styleId="187">
    <w:name w:val="toc 8"/>
    <w:basedOn w:val="900"/>
    <w:next w:val="900"/>
    <w:uiPriority w:val="39"/>
    <w:unhideWhenUsed/>
    <w:pPr>
      <w:ind w:left="1984" w:right="0" w:firstLine="0"/>
      <w:spacing w:after="57"/>
    </w:pPr>
  </w:style>
  <w:style w:type="paragraph" w:styleId="188">
    <w:name w:val="toc 9"/>
    <w:basedOn w:val="900"/>
    <w:next w:val="900"/>
    <w:uiPriority w:val="39"/>
    <w:unhideWhenUsed/>
    <w:pPr>
      <w:ind w:left="2268" w:right="0" w:firstLine="0"/>
      <w:spacing w:after="57"/>
    </w:pPr>
  </w:style>
  <w:style w:type="paragraph" w:styleId="189">
    <w:name w:val="TOC Heading"/>
    <w:uiPriority w:val="39"/>
    <w:unhideWhenUsed/>
  </w:style>
  <w:style w:type="paragraph" w:styleId="900" w:default="1">
    <w:name w:val="Normal"/>
    <w:qFormat/>
    <w:pPr>
      <w:jc w:val="both"/>
      <w:widowControl w:val="off"/>
    </w:pPr>
    <w:rPr>
      <w:rFonts w:ascii="Times New Roman" w:hAnsi="Times New Roman"/>
      <w:sz w:val="21"/>
      <w:szCs w:val="21"/>
    </w:rPr>
  </w:style>
  <w:style w:type="paragraph" w:styleId="901">
    <w:name w:val="Heading 1"/>
    <w:basedOn w:val="900"/>
    <w:next w:val="900"/>
    <w:link w:val="940"/>
    <w:qFormat/>
    <w:pPr>
      <w:jc w:val="center"/>
      <w:keepNext/>
      <w:outlineLvl w:val="0"/>
    </w:pPr>
    <w:rPr>
      <w:rFonts w:ascii="楷体_GB2312" w:eastAsia="楷体_GB2312"/>
      <w:sz w:val="28"/>
      <w:szCs w:val="28"/>
    </w:rPr>
  </w:style>
  <w:style w:type="paragraph" w:styleId="902">
    <w:name w:val="Heading 2"/>
    <w:basedOn w:val="900"/>
    <w:next w:val="913"/>
    <w:link w:val="941"/>
    <w:qFormat/>
    <w:pPr>
      <w:jc w:val="center"/>
      <w:keepLines/>
      <w:keepNext/>
      <w:spacing w:before="260" w:after="260" w:line="416" w:lineRule="auto"/>
      <w:outlineLvl w:val="1"/>
    </w:pPr>
    <w:rPr>
      <w:rFonts w:ascii="Arial" w:hAnsi="Arial" w:eastAsia="幼圆" w:cs="Arial"/>
      <w:b/>
      <w:bCs/>
      <w:sz w:val="44"/>
      <w:szCs w:val="44"/>
    </w:rPr>
  </w:style>
  <w:style w:type="paragraph" w:styleId="903">
    <w:name w:val="Heading 3"/>
    <w:basedOn w:val="900"/>
    <w:next w:val="913"/>
    <w:link w:val="942"/>
    <w:qFormat/>
    <w:pPr>
      <w:keepLines/>
      <w:keepNext/>
      <w:spacing w:before="260" w:after="260" w:line="416" w:lineRule="auto"/>
      <w:outlineLvl w:val="2"/>
    </w:pPr>
    <w:rPr>
      <w:b/>
      <w:bCs/>
      <w:sz w:val="32"/>
      <w:szCs w:val="32"/>
    </w:rPr>
  </w:style>
  <w:style w:type="paragraph" w:styleId="904">
    <w:name w:val="Heading 4"/>
    <w:basedOn w:val="900"/>
    <w:next w:val="913"/>
    <w:link w:val="943"/>
    <w:qFormat/>
    <w:pPr>
      <w:keepLines/>
      <w:keepNext/>
      <w:spacing w:before="280" w:after="290" w:line="376" w:lineRule="auto"/>
      <w:outlineLvl w:val="3"/>
    </w:pPr>
    <w:rPr>
      <w:rFonts w:ascii="Arial" w:hAnsi="Arial" w:eastAsia="黑体" w:cs="Arial"/>
      <w:b/>
      <w:bCs/>
      <w:sz w:val="28"/>
      <w:szCs w:val="28"/>
    </w:rPr>
  </w:style>
  <w:style w:type="paragraph" w:styleId="905">
    <w:name w:val="Heading 5"/>
    <w:basedOn w:val="900"/>
    <w:next w:val="913"/>
    <w:link w:val="944"/>
    <w:qFormat/>
    <w:pPr>
      <w:keepNext/>
      <w:outlineLvl w:val="4"/>
    </w:pPr>
    <w:rPr>
      <w:rFonts w:ascii="宋体"/>
      <w:color w:val="000000"/>
      <w:sz w:val="28"/>
      <w:szCs w:val="28"/>
    </w:rPr>
  </w:style>
  <w:style w:type="paragraph" w:styleId="906">
    <w:name w:val="Heading 6"/>
    <w:basedOn w:val="900"/>
    <w:next w:val="900"/>
    <w:link w:val="945"/>
    <w:qFormat/>
    <w:pPr>
      <w:numPr>
        <w:ilvl w:val="5"/>
        <w:numId w:val="1"/>
      </w:numPr>
      <w:keepLines/>
      <w:keepNext/>
      <w:spacing w:before="240" w:after="64" w:line="320" w:lineRule="auto"/>
      <w:outlineLvl w:val="5"/>
    </w:pPr>
    <w:rPr>
      <w:rFonts w:ascii="Arial" w:hAnsi="Arial" w:eastAsia="黑体"/>
      <w:b/>
      <w:bCs/>
      <w:sz w:val="24"/>
      <w:szCs w:val="24"/>
    </w:rPr>
  </w:style>
  <w:style w:type="paragraph" w:styleId="907">
    <w:name w:val="Heading 7"/>
    <w:basedOn w:val="900"/>
    <w:next w:val="900"/>
    <w:link w:val="946"/>
    <w:qFormat/>
    <w:pPr>
      <w:numPr>
        <w:ilvl w:val="6"/>
        <w:numId w:val="1"/>
      </w:numPr>
      <w:keepLines/>
      <w:keepNext/>
      <w:spacing w:before="240" w:after="64" w:line="320" w:lineRule="auto"/>
      <w:outlineLvl w:val="6"/>
    </w:pPr>
    <w:rPr>
      <w:b/>
      <w:bCs/>
      <w:sz w:val="24"/>
      <w:szCs w:val="24"/>
    </w:rPr>
  </w:style>
  <w:style w:type="paragraph" w:styleId="908">
    <w:name w:val="Heading 8"/>
    <w:basedOn w:val="900"/>
    <w:next w:val="900"/>
    <w:link w:val="947"/>
    <w:qFormat/>
    <w:pPr>
      <w:numPr>
        <w:ilvl w:val="7"/>
        <w:numId w:val="1"/>
      </w:numPr>
      <w:keepLines/>
      <w:keepNext/>
      <w:spacing w:before="240" w:after="64" w:line="320" w:lineRule="auto"/>
      <w:outlineLvl w:val="7"/>
    </w:pPr>
    <w:rPr>
      <w:rFonts w:ascii="Arial" w:hAnsi="Arial" w:eastAsia="黑体"/>
      <w:sz w:val="24"/>
      <w:szCs w:val="24"/>
    </w:rPr>
  </w:style>
  <w:style w:type="paragraph" w:styleId="909">
    <w:name w:val="Heading 9"/>
    <w:basedOn w:val="900"/>
    <w:next w:val="900"/>
    <w:link w:val="948"/>
    <w:qFormat/>
    <w:pPr>
      <w:numPr>
        <w:ilvl w:val="8"/>
        <w:numId w:val="1"/>
      </w:numPr>
      <w:keepLines/>
      <w:keepNext/>
      <w:spacing w:before="240" w:after="64" w:line="320" w:lineRule="auto"/>
      <w:outlineLvl w:val="8"/>
    </w:pPr>
    <w:rPr>
      <w:rFonts w:ascii="Arial" w:hAnsi="Arial" w:eastAsia="黑体"/>
    </w:rPr>
  </w:style>
  <w:style w:type="character" w:styleId="910" w:default="1">
    <w:name w:val="Default Paragraph Font"/>
    <w:uiPriority w:val="1"/>
    <w:semiHidden/>
    <w:unhideWhenUsed/>
  </w:style>
  <w:style w:type="table" w:styleId="911" w:default="1">
    <w:name w:val="Normal Table"/>
    <w:uiPriority w:val="99"/>
    <w:semiHidden/>
    <w:unhideWhenUsed/>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name w:val="Normal Indent"/>
    <w:basedOn w:val="900"/>
    <w:link w:val="949"/>
    <w:uiPriority w:val="99"/>
    <w:qFormat/>
    <w:pPr>
      <w:ind w:firstLine="420"/>
    </w:pPr>
  </w:style>
  <w:style w:type="paragraph" w:styleId="914">
    <w:name w:val="List 3"/>
    <w:basedOn w:val="900"/>
    <w:qFormat/>
    <w:pPr>
      <w:ind w:left="100" w:hanging="200"/>
    </w:pPr>
  </w:style>
  <w:style w:type="paragraph" w:styleId="915">
    <w:name w:val="Document Map"/>
    <w:basedOn w:val="900"/>
    <w:link w:val="951"/>
    <w:semiHidden/>
    <w:qFormat/>
    <w:pPr>
      <w:shd w:val="clear" w:color="auto" w:fill="000080"/>
    </w:pPr>
  </w:style>
  <w:style w:type="paragraph" w:styleId="916">
    <w:name w:val="annotation text"/>
    <w:basedOn w:val="900"/>
    <w:link w:val="952"/>
    <w:qFormat/>
    <w:pPr>
      <w:jc w:val="left"/>
    </w:pPr>
  </w:style>
  <w:style w:type="paragraph" w:styleId="917">
    <w:name w:val="Body Text 3"/>
    <w:basedOn w:val="900"/>
    <w:link w:val="953"/>
    <w:qFormat/>
    <w:rPr>
      <w:rFonts w:ascii="仿宋_GB2312" w:hAnsi="Arial" w:eastAsia="仿宋_GB2312"/>
      <w:sz w:val="32"/>
      <w:szCs w:val="32"/>
    </w:rPr>
  </w:style>
  <w:style w:type="paragraph" w:styleId="918">
    <w:name w:val="Body Text"/>
    <w:basedOn w:val="900"/>
    <w:link w:val="954"/>
    <w:qFormat/>
    <w:rPr>
      <w:rFonts w:ascii="楷体_GB2312" w:hAnsi="Arial" w:eastAsia="楷体_GB2312"/>
      <w:sz w:val="28"/>
      <w:szCs w:val="28"/>
    </w:rPr>
  </w:style>
  <w:style w:type="paragraph" w:styleId="919">
    <w:name w:val="Body Text Indent"/>
    <w:basedOn w:val="900"/>
    <w:link w:val="955"/>
    <w:qFormat/>
    <w:pPr>
      <w:ind w:firstLine="645"/>
    </w:pPr>
    <w:rPr>
      <w:rFonts w:ascii="楷体_GB2312" w:eastAsia="楷体_GB2312"/>
      <w:sz w:val="32"/>
      <w:szCs w:val="32"/>
    </w:rPr>
  </w:style>
  <w:style w:type="paragraph" w:styleId="920">
    <w:name w:val="List 2"/>
    <w:basedOn w:val="900"/>
    <w:qFormat/>
    <w:pPr>
      <w:ind w:left="100" w:hanging="200"/>
    </w:pPr>
  </w:style>
  <w:style w:type="paragraph" w:styleId="921">
    <w:name w:val="Plain Text"/>
    <w:basedOn w:val="900"/>
    <w:link w:val="958"/>
    <w:qFormat/>
    <w:rPr>
      <w:rFonts w:ascii="宋体" w:hAnsi="Courier New" w:cs="Courier New"/>
    </w:rPr>
  </w:style>
  <w:style w:type="paragraph" w:styleId="922">
    <w:name w:val="Date"/>
    <w:basedOn w:val="900"/>
    <w:next w:val="900"/>
    <w:link w:val="960"/>
    <w:qFormat/>
    <w:rPr>
      <w:sz w:val="24"/>
      <w:szCs w:val="24"/>
    </w:rPr>
  </w:style>
  <w:style w:type="paragraph" w:styleId="923">
    <w:name w:val="Body Text Indent 2"/>
    <w:basedOn w:val="900"/>
    <w:link w:val="961"/>
    <w:qFormat/>
    <w:pPr>
      <w:ind w:left="630" w:firstLine="645"/>
    </w:pPr>
    <w:rPr>
      <w:rFonts w:ascii="Arial" w:hAnsi="Arial" w:eastAsia="仿宋_GB2312" w:cs="Arial"/>
      <w:sz w:val="32"/>
      <w:szCs w:val="32"/>
    </w:rPr>
  </w:style>
  <w:style w:type="paragraph" w:styleId="924">
    <w:name w:val="Balloon Text"/>
    <w:basedOn w:val="900"/>
    <w:link w:val="962"/>
    <w:semiHidden/>
    <w:qFormat/>
    <w:rPr>
      <w:sz w:val="18"/>
      <w:szCs w:val="18"/>
    </w:rPr>
  </w:style>
  <w:style w:type="paragraph" w:styleId="925">
    <w:name w:val="Footer"/>
    <w:basedOn w:val="900"/>
    <w:link w:val="963"/>
    <w:uiPriority w:val="99"/>
    <w:qFormat/>
    <w:pPr>
      <w:jc w:val="left"/>
      <w:tabs>
        <w:tab w:val="center" w:pos="4153" w:leader="none"/>
        <w:tab w:val="right" w:pos="8306" w:leader="none"/>
      </w:tabs>
    </w:pPr>
    <w:rPr>
      <w:sz w:val="18"/>
      <w:szCs w:val="18"/>
    </w:rPr>
  </w:style>
  <w:style w:type="paragraph" w:styleId="926">
    <w:name w:val="Header"/>
    <w:basedOn w:val="900"/>
    <w:link w:val="964"/>
    <w:qFormat/>
    <w:pPr>
      <w:jc w:val="center"/>
      <w:tabs>
        <w:tab w:val="center" w:pos="4153" w:leader="none"/>
        <w:tab w:val="right" w:pos="8306" w:leader="none"/>
      </w:tabs>
      <w:pBdr>
        <w:bottom w:val="single" w:color="auto" w:sz="6" w:space="1"/>
      </w:pBdr>
    </w:pPr>
    <w:rPr>
      <w:sz w:val="18"/>
      <w:szCs w:val="18"/>
    </w:rPr>
  </w:style>
  <w:style w:type="paragraph" w:styleId="927">
    <w:name w:val="List"/>
    <w:basedOn w:val="900"/>
    <w:qFormat/>
    <w:pPr>
      <w:ind w:left="200" w:hanging="200"/>
    </w:pPr>
  </w:style>
  <w:style w:type="paragraph" w:styleId="928">
    <w:name w:val="Body Text Indent 3"/>
    <w:basedOn w:val="900"/>
    <w:link w:val="968"/>
    <w:qFormat/>
    <w:pPr>
      <w:ind w:left="645" w:firstLine="645"/>
    </w:pPr>
    <w:rPr>
      <w:rFonts w:ascii="Arial" w:hAnsi="Arial" w:eastAsia="仿宋_GB2312" w:cs="Arial"/>
      <w:color w:val="ffff00"/>
      <w:sz w:val="32"/>
      <w:szCs w:val="32"/>
    </w:rPr>
  </w:style>
  <w:style w:type="paragraph" w:styleId="929">
    <w:name w:val="table of figures"/>
    <w:basedOn w:val="900"/>
    <w:next w:val="900"/>
    <w:semiHidden/>
    <w:qFormat/>
    <w:pPr>
      <w:ind w:left="840" w:hanging="420"/>
    </w:pPr>
  </w:style>
  <w:style w:type="paragraph" w:styleId="930">
    <w:name w:val="Body Text 2"/>
    <w:basedOn w:val="900"/>
    <w:link w:val="971"/>
    <w:qFormat/>
    <w:pPr>
      <w:jc w:val="center"/>
      <w:widowControl/>
    </w:pPr>
    <w:rPr>
      <w:rFonts w:ascii="楷体_GB2312" w:eastAsia="楷体_GB2312"/>
      <w:sz w:val="28"/>
      <w:szCs w:val="28"/>
    </w:rPr>
  </w:style>
  <w:style w:type="paragraph" w:styleId="931">
    <w:name w:val="Normal (Web)"/>
    <w:basedOn w:val="900"/>
    <w:uiPriority w:val="99"/>
    <w:pPr>
      <w:jc w:val="left"/>
      <w:spacing w:before="100" w:beforeAutospacing="1" w:after="100" w:afterAutospacing="1"/>
      <w:widowControl/>
    </w:pPr>
    <w:rPr>
      <w:rFonts w:ascii="宋体" w:hAnsi="宋体" w:cs="宋体"/>
      <w:sz w:val="24"/>
      <w:szCs w:val="24"/>
    </w:rPr>
  </w:style>
  <w:style w:type="paragraph" w:styleId="932">
    <w:name w:val="index 1"/>
    <w:basedOn w:val="900"/>
    <w:next w:val="900"/>
    <w:semiHidden/>
    <w:pPr>
      <w:spacing w:line="240" w:lineRule="atLeast"/>
    </w:pPr>
    <w:rPr>
      <w:b/>
      <w:bCs/>
    </w:rPr>
  </w:style>
  <w:style w:type="paragraph" w:styleId="933">
    <w:name w:val="annotation subject"/>
    <w:basedOn w:val="916"/>
    <w:next w:val="916"/>
    <w:link w:val="972"/>
    <w:semiHidden/>
    <w:rPr>
      <w:b/>
      <w:bCs/>
    </w:rPr>
  </w:style>
  <w:style w:type="table" w:styleId="934">
    <w:name w:val="Table Grid"/>
    <w:basedOn w:val="911"/>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qFormat/>
    <w:rPr>
      <w:b/>
      <w:bCs/>
    </w:rPr>
  </w:style>
  <w:style w:type="character" w:styleId="936">
    <w:name w:val="page number"/>
  </w:style>
  <w:style w:type="character" w:styleId="937">
    <w:name w:val="FollowedHyperlink"/>
    <w:rPr>
      <w:color w:val="800080"/>
      <w:u w:val="single"/>
    </w:rPr>
  </w:style>
  <w:style w:type="character" w:styleId="938">
    <w:name w:val="Hyperlink"/>
    <w:uiPriority w:val="99"/>
    <w:rPr>
      <w:color w:val="0000ff"/>
      <w:u w:val="single"/>
    </w:rPr>
  </w:style>
  <w:style w:type="character" w:styleId="939">
    <w:name w:val="annotation reference"/>
    <w:qFormat/>
    <w:rPr>
      <w:sz w:val="21"/>
      <w:szCs w:val="21"/>
    </w:rPr>
  </w:style>
  <w:style w:type="character" w:styleId="940" w:customStyle="1">
    <w:name w:val="标题 1 字符"/>
    <w:link w:val="901"/>
    <w:qFormat/>
    <w:rPr>
      <w:rFonts w:ascii="楷体_GB2312" w:hAnsi="Times New Roman" w:eastAsia="楷体_GB2312" w:cs="Times New Roman"/>
      <w:sz w:val="28"/>
      <w:szCs w:val="28"/>
    </w:rPr>
  </w:style>
  <w:style w:type="character" w:styleId="941" w:customStyle="1">
    <w:name w:val="标题 2 字符"/>
    <w:link w:val="902"/>
    <w:rPr>
      <w:rFonts w:ascii="Arial" w:hAnsi="Arial" w:eastAsia="幼圆" w:cs="Arial"/>
      <w:b/>
      <w:bCs/>
      <w:sz w:val="44"/>
      <w:szCs w:val="44"/>
    </w:rPr>
  </w:style>
  <w:style w:type="character" w:styleId="942" w:customStyle="1">
    <w:name w:val="标题 3 字符"/>
    <w:link w:val="903"/>
    <w:rPr>
      <w:rFonts w:ascii="Times New Roman" w:hAnsi="Times New Roman" w:eastAsia="宋体" w:cs="Times New Roman"/>
      <w:b/>
      <w:bCs/>
      <w:sz w:val="32"/>
      <w:szCs w:val="32"/>
    </w:rPr>
  </w:style>
  <w:style w:type="character" w:styleId="943" w:customStyle="1">
    <w:name w:val="标题 4 字符"/>
    <w:link w:val="904"/>
    <w:rPr>
      <w:rFonts w:ascii="Arial" w:hAnsi="Arial" w:eastAsia="黑体" w:cs="Arial"/>
      <w:b/>
      <w:bCs/>
      <w:sz w:val="28"/>
      <w:szCs w:val="28"/>
    </w:rPr>
  </w:style>
  <w:style w:type="character" w:styleId="944" w:customStyle="1">
    <w:name w:val="标题 5 字符"/>
    <w:link w:val="905"/>
    <w:qFormat/>
    <w:rPr>
      <w:rFonts w:ascii="宋体" w:hAnsi="Times New Roman" w:eastAsia="宋体" w:cs="Times New Roman"/>
      <w:color w:val="000000"/>
      <w:sz w:val="28"/>
      <w:szCs w:val="28"/>
    </w:rPr>
  </w:style>
  <w:style w:type="character" w:styleId="945" w:customStyle="1">
    <w:name w:val="标题 6 字符"/>
    <w:link w:val="906"/>
    <w:rPr>
      <w:rFonts w:ascii="Arial" w:hAnsi="Arial" w:eastAsia="黑体" w:cs="Times New Roman"/>
      <w:b/>
      <w:bCs/>
      <w:sz w:val="24"/>
      <w:szCs w:val="24"/>
    </w:rPr>
  </w:style>
  <w:style w:type="character" w:styleId="946" w:customStyle="1">
    <w:name w:val="标题 7 字符"/>
    <w:link w:val="907"/>
    <w:rPr>
      <w:rFonts w:ascii="Times New Roman" w:hAnsi="Times New Roman" w:eastAsia="宋体" w:cs="Times New Roman"/>
      <w:b/>
      <w:bCs/>
      <w:sz w:val="24"/>
      <w:szCs w:val="24"/>
    </w:rPr>
  </w:style>
  <w:style w:type="character" w:styleId="947" w:customStyle="1">
    <w:name w:val="标题 8 字符"/>
    <w:link w:val="908"/>
    <w:rPr>
      <w:rFonts w:ascii="Arial" w:hAnsi="Arial" w:eastAsia="黑体" w:cs="Times New Roman"/>
      <w:sz w:val="24"/>
      <w:szCs w:val="24"/>
    </w:rPr>
  </w:style>
  <w:style w:type="character" w:styleId="948" w:customStyle="1">
    <w:name w:val="标题 9 字符"/>
    <w:link w:val="909"/>
    <w:qFormat/>
    <w:rPr>
      <w:rFonts w:ascii="Arial" w:hAnsi="Arial" w:eastAsia="黑体" w:cs="Times New Roman"/>
      <w:szCs w:val="21"/>
    </w:rPr>
  </w:style>
  <w:style w:type="character" w:styleId="949" w:customStyle="1">
    <w:name w:val="正文缩进 字符"/>
    <w:link w:val="913"/>
    <w:qFormat/>
    <w:rPr>
      <w:rFonts w:ascii="Times New Roman" w:hAnsi="Times New Roman" w:eastAsia="宋体" w:cs="Times New Roman"/>
      <w:szCs w:val="21"/>
    </w:rPr>
  </w:style>
  <w:style w:type="paragraph" w:styleId="950" w:customStyle="1">
    <w:name w:val="目录 71"/>
    <w:basedOn w:val="900"/>
    <w:next w:val="900"/>
    <w:semiHidden/>
    <w:pPr>
      <w:ind w:left="1260"/>
      <w:jc w:val="left"/>
    </w:pPr>
  </w:style>
  <w:style w:type="character" w:styleId="951" w:customStyle="1">
    <w:name w:val="文档结构图 字符"/>
    <w:link w:val="915"/>
    <w:semiHidden/>
    <w:rPr>
      <w:rFonts w:ascii="Times New Roman" w:hAnsi="Times New Roman" w:eastAsia="宋体" w:cs="Times New Roman"/>
      <w:szCs w:val="21"/>
      <w:shd w:val="clear" w:color="auto" w:fill="000080"/>
    </w:rPr>
  </w:style>
  <w:style w:type="character" w:styleId="952" w:customStyle="1">
    <w:name w:val="批注文字 字符"/>
    <w:link w:val="916"/>
    <w:qFormat/>
    <w:rPr>
      <w:rFonts w:ascii="Times New Roman" w:hAnsi="Times New Roman" w:eastAsia="宋体" w:cs="Times New Roman"/>
      <w:szCs w:val="21"/>
    </w:rPr>
  </w:style>
  <w:style w:type="character" w:styleId="953" w:customStyle="1">
    <w:name w:val="正文文本 3 字符"/>
    <w:link w:val="917"/>
    <w:qFormat/>
    <w:rPr>
      <w:rFonts w:ascii="仿宋_GB2312" w:hAnsi="Arial" w:eastAsia="仿宋_GB2312" w:cs="Times New Roman"/>
      <w:sz w:val="32"/>
      <w:szCs w:val="32"/>
    </w:rPr>
  </w:style>
  <w:style w:type="character" w:styleId="954" w:customStyle="1">
    <w:name w:val="正文文本 字符"/>
    <w:link w:val="918"/>
    <w:rPr>
      <w:rFonts w:ascii="楷体_GB2312" w:hAnsi="Arial" w:eastAsia="楷体_GB2312" w:cs="Times New Roman"/>
      <w:sz w:val="28"/>
      <w:szCs w:val="28"/>
    </w:rPr>
  </w:style>
  <w:style w:type="character" w:styleId="955" w:customStyle="1">
    <w:name w:val="正文文本缩进 字符"/>
    <w:link w:val="919"/>
    <w:rPr>
      <w:rFonts w:ascii="楷体_GB2312" w:hAnsi="Times New Roman" w:eastAsia="楷体_GB2312" w:cs="Times New Roman"/>
      <w:sz w:val="32"/>
      <w:szCs w:val="32"/>
    </w:rPr>
  </w:style>
  <w:style w:type="paragraph" w:styleId="956" w:customStyle="1">
    <w:name w:val="目录 51"/>
    <w:basedOn w:val="900"/>
    <w:next w:val="900"/>
    <w:semiHidden/>
    <w:qFormat/>
    <w:pPr>
      <w:ind w:left="840"/>
      <w:jc w:val="left"/>
    </w:pPr>
  </w:style>
  <w:style w:type="paragraph" w:styleId="957" w:customStyle="1">
    <w:name w:val="目录 31"/>
    <w:basedOn w:val="900"/>
    <w:next w:val="900"/>
    <w:semiHidden/>
    <w:qFormat/>
    <w:pPr>
      <w:ind w:left="420"/>
      <w:jc w:val="left"/>
    </w:pPr>
    <w:rPr>
      <w:i/>
      <w:iCs/>
      <w:szCs w:val="24"/>
    </w:rPr>
  </w:style>
  <w:style w:type="character" w:styleId="958" w:customStyle="1">
    <w:name w:val="纯文本 字符"/>
    <w:link w:val="921"/>
    <w:rPr>
      <w:rFonts w:ascii="宋体" w:hAnsi="Courier New" w:eastAsia="宋体" w:cs="Courier New"/>
      <w:szCs w:val="21"/>
    </w:rPr>
  </w:style>
  <w:style w:type="paragraph" w:styleId="959" w:customStyle="1">
    <w:name w:val="目录 81"/>
    <w:basedOn w:val="900"/>
    <w:next w:val="900"/>
    <w:semiHidden/>
    <w:pPr>
      <w:ind w:left="1470"/>
      <w:jc w:val="left"/>
    </w:pPr>
  </w:style>
  <w:style w:type="character" w:styleId="960" w:customStyle="1">
    <w:name w:val="日期 字符"/>
    <w:link w:val="922"/>
    <w:rPr>
      <w:rFonts w:ascii="Times New Roman" w:hAnsi="Times New Roman" w:eastAsia="宋体" w:cs="Times New Roman"/>
      <w:sz w:val="24"/>
      <w:szCs w:val="24"/>
    </w:rPr>
  </w:style>
  <w:style w:type="character" w:styleId="961" w:customStyle="1">
    <w:name w:val="正文文本缩进 2 字符"/>
    <w:link w:val="923"/>
    <w:rPr>
      <w:rFonts w:ascii="Arial" w:hAnsi="Arial" w:eastAsia="仿宋_GB2312" w:cs="Arial"/>
      <w:sz w:val="32"/>
      <w:szCs w:val="32"/>
    </w:rPr>
  </w:style>
  <w:style w:type="character" w:styleId="962" w:customStyle="1">
    <w:name w:val="批注框文本 字符"/>
    <w:link w:val="924"/>
    <w:semiHidden/>
    <w:rPr>
      <w:rFonts w:ascii="Times New Roman" w:hAnsi="Times New Roman" w:eastAsia="宋体" w:cs="Times New Roman"/>
      <w:sz w:val="18"/>
      <w:szCs w:val="18"/>
    </w:rPr>
  </w:style>
  <w:style w:type="character" w:styleId="963" w:customStyle="1">
    <w:name w:val="页脚 字符"/>
    <w:link w:val="925"/>
    <w:uiPriority w:val="99"/>
    <w:qFormat/>
    <w:rPr>
      <w:rFonts w:ascii="Times New Roman" w:hAnsi="Times New Roman" w:eastAsia="宋体" w:cs="Times New Roman"/>
      <w:sz w:val="18"/>
      <w:szCs w:val="18"/>
    </w:rPr>
  </w:style>
  <w:style w:type="character" w:styleId="964" w:customStyle="1">
    <w:name w:val="页眉 字符"/>
    <w:link w:val="926"/>
    <w:rPr>
      <w:rFonts w:ascii="Times New Roman" w:hAnsi="Times New Roman" w:eastAsia="宋体" w:cs="Times New Roman"/>
      <w:sz w:val="18"/>
      <w:szCs w:val="18"/>
    </w:rPr>
  </w:style>
  <w:style w:type="paragraph" w:styleId="965" w:customStyle="1">
    <w:name w:val="目录 11"/>
    <w:basedOn w:val="900"/>
    <w:next w:val="900"/>
    <w:uiPriority w:val="39"/>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900"/>
    <w:next w:val="900"/>
    <w:semiHidden/>
    <w:pPr>
      <w:ind w:left="630"/>
      <w:jc w:val="left"/>
    </w:pPr>
  </w:style>
  <w:style w:type="paragraph" w:styleId="967" w:customStyle="1">
    <w:name w:val="目录 61"/>
    <w:basedOn w:val="900"/>
    <w:next w:val="900"/>
    <w:semiHidden/>
    <w:pPr>
      <w:ind w:left="1050"/>
      <w:jc w:val="left"/>
    </w:pPr>
  </w:style>
  <w:style w:type="character" w:styleId="968" w:customStyle="1">
    <w:name w:val="正文文本缩进 3 字符"/>
    <w:link w:val="928"/>
    <w:rPr>
      <w:rFonts w:ascii="Arial" w:hAnsi="Arial" w:eastAsia="仿宋_GB2312" w:cs="Arial"/>
      <w:color w:val="ffff00"/>
      <w:sz w:val="32"/>
      <w:szCs w:val="32"/>
    </w:rPr>
  </w:style>
  <w:style w:type="paragraph" w:styleId="969" w:customStyle="1">
    <w:name w:val="目录 21"/>
    <w:basedOn w:val="900"/>
    <w:next w:val="900"/>
    <w:semiHidden/>
    <w:pPr>
      <w:ind w:left="210"/>
      <w:jc w:val="left"/>
    </w:pPr>
    <w:rPr>
      <w:smallCaps/>
      <w:szCs w:val="24"/>
    </w:rPr>
  </w:style>
  <w:style w:type="paragraph" w:styleId="970" w:customStyle="1">
    <w:name w:val="目录 91"/>
    <w:basedOn w:val="900"/>
    <w:next w:val="900"/>
    <w:semiHidden/>
    <w:pPr>
      <w:ind w:left="1680"/>
      <w:jc w:val="left"/>
    </w:pPr>
  </w:style>
  <w:style w:type="character" w:styleId="971" w:customStyle="1">
    <w:name w:val="正文文本 2 字符"/>
    <w:link w:val="930"/>
    <w:rPr>
      <w:rFonts w:ascii="楷体_GB2312" w:hAnsi="Times New Roman" w:eastAsia="楷体_GB2312" w:cs="Times New Roman"/>
      <w:sz w:val="28"/>
      <w:szCs w:val="28"/>
    </w:rPr>
  </w:style>
  <w:style w:type="character" w:styleId="972" w:customStyle="1">
    <w:name w:val="批注主题 字符"/>
    <w:link w:val="933"/>
    <w:semiHidden/>
    <w:rPr>
      <w:rFonts w:ascii="Times New Roman" w:hAnsi="Times New Roman" w:eastAsia="宋体" w:cs="Times New Roman"/>
      <w:b/>
      <w:bCs/>
      <w:szCs w:val="21"/>
    </w:rPr>
  </w:style>
  <w:style w:type="paragraph" w:styleId="973" w:customStyle="1">
    <w:name w:val="正文首行缩进1"/>
    <w:basedOn w:val="900"/>
    <w:link w:val="974"/>
    <w:pPr>
      <w:ind w:firstLine="200"/>
      <w:spacing w:line="360" w:lineRule="auto"/>
    </w:pPr>
    <w:rPr>
      <w:rFonts w:ascii="仿宋_GB2312" w:eastAsia="仿宋_GB2312"/>
      <w:sz w:val="30"/>
      <w:szCs w:val="30"/>
    </w:rPr>
  </w:style>
  <w:style w:type="character" w:styleId="974" w:customStyle="1">
    <w:name w:val="正文首行缩进 Char"/>
    <w:link w:val="973"/>
    <w:rPr>
      <w:rFonts w:ascii="仿宋_GB2312" w:hAnsi="Times New Roman" w:eastAsia="仿宋_GB2312" w:cs="Times New Roman"/>
      <w:sz w:val="30"/>
      <w:szCs w:val="30"/>
    </w:rPr>
  </w:style>
  <w:style w:type="paragraph" w:styleId="975" w:customStyle="1">
    <w:name w:val="正文首行缩进 21"/>
    <w:basedOn w:val="919"/>
    <w:link w:val="976"/>
    <w:pPr>
      <w:ind w:firstLine="420"/>
      <w:spacing w:line="360" w:lineRule="auto"/>
    </w:pPr>
    <w:rPr>
      <w:rFonts w:ascii="宋体" w:hAnsi="宋体" w:eastAsia="宋体"/>
      <w:sz w:val="21"/>
      <w:szCs w:val="20"/>
    </w:rPr>
  </w:style>
  <w:style w:type="character" w:styleId="976" w:customStyle="1">
    <w:name w:val="正文首行缩进 2 Char"/>
    <w:link w:val="975"/>
    <w:rPr>
      <w:rFonts w:ascii="宋体" w:hAnsi="宋体" w:eastAsia="宋体" w:cs="Times New Roman"/>
      <w:sz w:val="32"/>
      <w:szCs w:val="20"/>
    </w:rPr>
  </w:style>
  <w:style w:type="character" w:styleId="977" w:customStyle="1">
    <w:name w:val="font5 Char"/>
    <w:rPr>
      <w:rFonts w:ascii="宋体" w:hAnsi="宋体" w:eastAsia="宋体"/>
      <w:sz w:val="28"/>
      <w:szCs w:val="28"/>
      <w:lang w:val="en-US" w:eastAsia="zh-CN" w:bidi="ar-SA"/>
    </w:rPr>
  </w:style>
  <w:style w:type="character" w:styleId="978" w:customStyle="1">
    <w:name w:val="二级目录 Char"/>
    <w:link w:val="979"/>
    <w:rPr>
      <w:b/>
      <w:sz w:val="30"/>
      <w:szCs w:val="28"/>
    </w:rPr>
  </w:style>
  <w:style w:type="paragraph" w:styleId="979" w:customStyle="1">
    <w:name w:val="二级目录"/>
    <w:next w:val="900"/>
    <w:link w:val="978"/>
    <w:pPr>
      <w:ind w:left="907" w:hanging="907"/>
      <w:tabs>
        <w:tab w:val="left" w:pos="907" w:leader="none"/>
        <w:tab w:val="left" w:pos="1145" w:leader="none"/>
      </w:tabs>
      <w:outlineLvl w:val="1"/>
    </w:pPr>
    <w:rPr>
      <w:b/>
      <w:sz w:val="30"/>
      <w:szCs w:val="28"/>
    </w:rPr>
  </w:style>
  <w:style w:type="character" w:styleId="980" w:customStyle="1">
    <w:name w:val="列出段落 Char"/>
    <w:link w:val="981"/>
    <w:rPr>
      <w:rFonts w:ascii="Calibri" w:hAnsi="Calibri"/>
      <w:sz w:val="24"/>
      <w:szCs w:val="24"/>
      <w:lang w:eastAsia="en-US" w:bidi="en-US"/>
    </w:rPr>
  </w:style>
  <w:style w:type="paragraph" w:styleId="981" w:customStyle="1">
    <w:name w:val="列出段落1"/>
    <w:basedOn w:val="900"/>
    <w:link w:val="980"/>
    <w:qFormat/>
    <w:pPr>
      <w:contextualSpacing/>
      <w:ind w:left="720"/>
      <w:jc w:val="left"/>
      <w:widowControl/>
    </w:pPr>
    <w:rPr>
      <w:rFonts w:ascii="Calibri" w:hAnsi="Calibri"/>
      <w:sz w:val="24"/>
      <w:szCs w:val="24"/>
      <w:lang w:eastAsia="en-US" w:bidi="en-US"/>
    </w:rPr>
  </w:style>
  <w:style w:type="paragraph" w:styleId="982" w:customStyle="1">
    <w:name w:val="Body Text(ch)"/>
    <w:basedOn w:val="900"/>
    <w:next w:val="918"/>
    <w:pPr>
      <w:spacing w:after="120"/>
    </w:pPr>
    <w:rPr>
      <w:rFonts w:ascii="宋体" w:hAnsi="Arial"/>
      <w:bCs/>
      <w:iCs/>
      <w:szCs w:val="24"/>
    </w:rPr>
  </w:style>
  <w:style w:type="paragraph" w:styleId="983" w:customStyle="1">
    <w:name w:val="xl27"/>
    <w:basedOn w:val="90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4" w:customStyle="1">
    <w:name w:val="xl26"/>
    <w:basedOn w:val="90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5" w:customStyle="1">
    <w:name w:val="Char"/>
    <w:basedOn w:val="900"/>
    <w:pPr>
      <w:ind w:firstLine="200"/>
      <w:tabs>
        <w:tab w:val="left" w:pos="360" w:leader="none"/>
      </w:tabs>
    </w:pPr>
    <w:rPr>
      <w:sz w:val="28"/>
      <w:szCs w:val="30"/>
    </w:rPr>
  </w:style>
  <w:style w:type="paragraph" w:styleId="986" w:customStyle="1">
    <w:name w:val="Char"/>
    <w:basedOn w:val="915"/>
    <w:rPr>
      <w:rFonts w:ascii="Tahoma" w:hAnsi="Tahoma"/>
      <w:sz w:val="24"/>
      <w:szCs w:val="24"/>
    </w:rPr>
  </w:style>
  <w:style w:type="paragraph" w:styleId="987" w:customStyle="1">
    <w:name w:val="普通正文"/>
    <w:basedOn w:val="900"/>
    <w:pPr>
      <w:ind w:firstLine="480"/>
      <w:jc w:val="left"/>
      <w:spacing w:before="120" w:after="120" w:line="360" w:lineRule="auto"/>
    </w:pPr>
    <w:rPr>
      <w:rFonts w:ascii="Arial" w:hAnsi="Arial"/>
      <w:sz w:val="24"/>
      <w:szCs w:val="24"/>
    </w:rPr>
  </w:style>
  <w:style w:type="paragraph" w:styleId="988" w:customStyle="1">
    <w:name w:val="table_lines"/>
    <w:basedOn w:val="900"/>
    <w:pPr>
      <w:jc w:val="left"/>
      <w:widowControl/>
    </w:pPr>
    <w:rPr>
      <w:sz w:val="20"/>
      <w:szCs w:val="20"/>
      <w:lang w:val="de-DE" w:eastAsia="de-DE"/>
    </w:rPr>
  </w:style>
  <w:style w:type="paragraph" w:styleId="989" w:customStyle="1">
    <w:name w:val="附录1"/>
    <w:pPr>
      <w:numPr>
        <w:numId w:val="2"/>
      </w:numPr>
      <w:spacing w:before="240" w:line="600" w:lineRule="atLeast"/>
    </w:pPr>
    <w:rPr>
      <w:rFonts w:ascii="Times New Roman" w:hAnsi="Times New Roman"/>
      <w:b/>
      <w:i/>
      <w:sz w:val="28"/>
    </w:rPr>
  </w:style>
  <w:style w:type="paragraph" w:styleId="990" w:customStyle="1">
    <w:name w:val="font7"/>
    <w:basedOn w:val="900"/>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915"/>
    <w:pPr>
      <w:spacing w:line="360" w:lineRule="auto"/>
    </w:pPr>
    <w:rPr>
      <w:rFonts w:ascii="Tahoma" w:hAnsi="Tahoma"/>
      <w:sz w:val="24"/>
      <w:szCs w:val="24"/>
    </w:rPr>
  </w:style>
  <w:style w:type="paragraph" w:styleId="992" w:customStyle="1">
    <w:name w:val="列出段落"/>
    <w:basedOn w:val="900"/>
    <w:link w:val="1013"/>
    <w:uiPriority w:val="34"/>
    <w:qFormat/>
    <w:pPr>
      <w:contextualSpacing/>
      <w:ind w:left="720"/>
      <w:jc w:val="left"/>
      <w:widowControl/>
    </w:pPr>
    <w:rPr>
      <w:rFonts w:ascii="Calibri" w:hAnsi="Calibri"/>
      <w:sz w:val="24"/>
      <w:szCs w:val="24"/>
      <w:lang w:eastAsia="en-US" w:bidi="en-US"/>
    </w:rPr>
  </w:style>
  <w:style w:type="paragraph" w:styleId="993" w:customStyle="1">
    <w:name w:val="4"/>
    <w:basedOn w:val="900"/>
    <w:next w:val="928"/>
    <w:pPr>
      <w:ind w:firstLine="420"/>
      <w:spacing w:line="360" w:lineRule="auto"/>
    </w:pPr>
    <w:rPr>
      <w:color w:val="ff0000"/>
      <w:sz w:val="24"/>
      <w:szCs w:val="24"/>
    </w:rPr>
  </w:style>
  <w:style w:type="paragraph" w:styleId="994" w:customStyle="1">
    <w:name w:val="普通 (Web)"/>
    <w:basedOn w:val="900"/>
    <w:pPr>
      <w:jc w:val="left"/>
      <w:spacing w:before="100" w:beforeAutospacing="1" w:after="100" w:afterAutospacing="1"/>
      <w:widowControl/>
    </w:pPr>
    <w:rPr>
      <w:rFonts w:ascii="宋体" w:hAnsi="宋体"/>
      <w:sz w:val="24"/>
      <w:szCs w:val="24"/>
    </w:rPr>
  </w:style>
  <w:style w:type="paragraph" w:styleId="995" w:customStyle="1">
    <w:name w:val="Char Char Char Char Char Char Char Char Char Char"/>
    <w:basedOn w:val="900"/>
    <w:pPr>
      <w:spacing w:line="360" w:lineRule="auto"/>
    </w:pPr>
    <w:rPr>
      <w:sz w:val="24"/>
      <w:szCs w:val="20"/>
    </w:rPr>
  </w:style>
  <w:style w:type="paragraph" w:styleId="996" w:customStyle="1">
    <w:name w:val="样式1"/>
    <w:basedOn w:val="900"/>
    <w:pPr>
      <w:numPr>
        <w:numId w:val="3"/>
      </w:numPr>
    </w:pPr>
    <w:rPr>
      <w:rFonts w:ascii="宋体" w:hAnsi="宋体"/>
    </w:rPr>
  </w:style>
  <w:style w:type="paragraph" w:styleId="997" w:customStyle="1">
    <w:name w:val="font6"/>
    <w:basedOn w:val="900"/>
    <w:pPr>
      <w:jc w:val="left"/>
      <w:spacing w:before="100" w:beforeAutospacing="1" w:after="100" w:afterAutospacing="1"/>
      <w:widowControl/>
    </w:pPr>
    <w:rPr>
      <w:rFonts w:hint="eastAsia" w:ascii="宋体" w:hAnsi="宋体"/>
      <w:sz w:val="28"/>
      <w:szCs w:val="28"/>
      <w:u w:val="single"/>
    </w:rPr>
  </w:style>
  <w:style w:type="paragraph" w:styleId="998" w:customStyle="1">
    <w:name w:val="xl25"/>
    <w:basedOn w:val="9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900"/>
    <w:next w:val="90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customStyle="1">
    <w:name w:val="标题3"/>
    <w:basedOn w:val="900"/>
    <w:next w:val="900"/>
    <w:pPr>
      <w:ind w:firstLine="624"/>
      <w:spacing w:line="590" w:lineRule="atLeast"/>
    </w:pPr>
    <w:rPr>
      <w:rFonts w:ascii="方正黑体_GBK" w:eastAsia="方正黑体_GBK"/>
      <w:sz w:val="32"/>
      <w:szCs w:val="32"/>
    </w:rPr>
  </w:style>
  <w:style w:type="paragraph" w:styleId="1001" w:customStyle="1">
    <w:name w:val="xl24"/>
    <w:basedOn w:val="90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xl29"/>
    <w:basedOn w:val="90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3" w:customStyle="1">
    <w:name w:val="Char Char Char Char Char Char Char Char"/>
    <w:basedOn w:val="900"/>
    <w:pPr>
      <w:jc w:val="left"/>
      <w:spacing w:after="160" w:line="240" w:lineRule="exact"/>
      <w:widowControl/>
    </w:pPr>
    <w:rPr>
      <w:rFonts w:ascii="Verdana" w:hAnsi="Verdana"/>
      <w:sz w:val="20"/>
      <w:szCs w:val="20"/>
      <w:lang w:eastAsia="en-US"/>
    </w:rPr>
  </w:style>
  <w:style w:type="paragraph" w:styleId="1004" w:customStyle="1">
    <w:name w:val="xl28"/>
    <w:basedOn w:val="90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5" w:customStyle="1">
    <w:name w:val="Char Char Char Char Char Char Char Char"/>
    <w:basedOn w:val="900"/>
    <w:pPr>
      <w:jc w:val="left"/>
      <w:spacing w:after="160" w:line="240" w:lineRule="exact"/>
      <w:widowControl/>
    </w:pPr>
    <w:rPr>
      <w:rFonts w:ascii="Verdana" w:hAnsi="Verdana"/>
      <w:sz w:val="20"/>
      <w:szCs w:val="20"/>
      <w:lang w:eastAsia="en-US"/>
    </w:rPr>
  </w:style>
  <w:style w:type="paragraph" w:styleId="1006" w:customStyle="1">
    <w:name w:val="xl30"/>
    <w:basedOn w:val="900"/>
    <w:pPr>
      <w:jc w:val="center"/>
      <w:spacing w:before="100" w:beforeAutospacing="1" w:after="100" w:afterAutospacing="1"/>
      <w:widowControl/>
    </w:pPr>
    <w:rPr>
      <w:rFonts w:ascii="宋体" w:hAnsi="宋体"/>
      <w:b/>
      <w:bCs/>
      <w:sz w:val="36"/>
      <w:szCs w:val="36"/>
    </w:rPr>
  </w:style>
  <w:style w:type="paragraph" w:styleId="1007" w:customStyle="1">
    <w:name w:val="Char Char Char Char"/>
    <w:basedOn w:val="915"/>
    <w:pPr>
      <w:spacing w:line="360" w:lineRule="auto"/>
    </w:pPr>
    <w:rPr>
      <w:rFonts w:ascii="Tahoma" w:hAnsi="Tahoma"/>
      <w:sz w:val="24"/>
      <w:szCs w:val="24"/>
    </w:rPr>
  </w:style>
  <w:style w:type="paragraph" w:styleId="1008" w:customStyle="1">
    <w:name w:val="table_1stline"/>
    <w:basedOn w:val="900"/>
    <w:pPr>
      <w:jc w:val="left"/>
      <w:spacing w:before="120"/>
      <w:widowControl/>
    </w:pPr>
    <w:rPr>
      <w:bCs/>
      <w:sz w:val="20"/>
      <w:szCs w:val="20"/>
      <w:lang w:val="de-DE" w:eastAsia="de-DE"/>
    </w:rPr>
  </w:style>
  <w:style w:type="paragraph" w:styleId="1009" w:customStyle="1">
    <w:name w:val="font5"/>
    <w:basedOn w:val="900"/>
    <w:pPr>
      <w:jc w:val="left"/>
      <w:spacing w:before="100" w:beforeAutospacing="1" w:after="100" w:afterAutospacing="1"/>
      <w:widowControl/>
    </w:pPr>
    <w:rPr>
      <w:rFonts w:hint="eastAsia" w:ascii="宋体" w:hAnsi="宋体"/>
      <w:sz w:val="28"/>
      <w:szCs w:val="28"/>
    </w:rPr>
  </w:style>
  <w:style w:type="paragraph" w:styleId="1010" w:customStyle="1">
    <w:name w:val="标题1"/>
    <w:basedOn w:val="900"/>
    <w:next w:val="90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修订1"/>
    <w:uiPriority w:val="99"/>
    <w:semiHidden/>
    <w:rPr>
      <w:rFonts w:ascii="Times New Roman" w:hAnsi="Times New Roman"/>
      <w:sz w:val="21"/>
      <w:szCs w:val="21"/>
    </w:rPr>
  </w:style>
  <w:style w:type="paragraph" w:styleId="1012">
    <w:name w:val="No Spacing"/>
    <w:uiPriority w:val="99"/>
    <w:qFormat/>
    <w:pPr>
      <w:jc w:val="both"/>
      <w:widowControl w:val="off"/>
    </w:pPr>
    <w:rPr>
      <w:rFonts w:ascii="Times New Roman" w:hAnsi="Times New Roman"/>
      <w:sz w:val="21"/>
      <w:szCs w:val="21"/>
    </w:rPr>
  </w:style>
  <w:style w:type="character" w:styleId="1013" w:customStyle="1">
    <w:name w:val="列出段落 Char1"/>
    <w:link w:val="992"/>
    <w:uiPriority w:val="34"/>
    <w:qFormat/>
    <w:rPr>
      <w:sz w:val="24"/>
      <w:szCs w:val="24"/>
      <w:lang w:eastAsia="en-US" w:bidi="en-US"/>
    </w:rPr>
  </w:style>
  <w:style w:type="paragraph" w:styleId="1014" w:customStyle="1">
    <w:name w:val="AONormal"/>
    <w:qFormat/>
    <w:pPr>
      <w:ind w:firstLine="440"/>
      <w:spacing w:line="400" w:lineRule="exact"/>
    </w:pPr>
    <w:rPr>
      <w:rFonts w:ascii="华文楷体" w:hAnsi="华文楷体" w:eastAsia="华文楷体" w:cs="华文楷体"/>
      <w:sz w:val="22"/>
      <w:szCs w:val="21"/>
    </w:rPr>
  </w:style>
  <w:style w:type="paragraph" w:styleId="1015">
    <w:name w:val="toc 1"/>
    <w:basedOn w:val="900"/>
    <w:next w:val="900"/>
    <w:uiPriority w:val="39"/>
    <w:unhideWhenUsed/>
    <w:pPr>
      <w:spacing w:line="360" w:lineRule="auto"/>
      <w:tabs>
        <w:tab w:val="right" w:pos="9016" w:leader="dot"/>
      </w:tabs>
    </w:pPr>
  </w:style>
  <w:style w:type="paragraph" w:styleId="1016" w:customStyle="1">
    <w:name w:val="正文文本1"/>
    <w:basedOn w:val="900"/>
    <w:next w:val="900"/>
    <w:qFormat/>
    <w:pPr>
      <w:spacing w:after="160" w:line="278" w:lineRule="auto"/>
    </w:pPr>
    <w:rPr>
      <w:rFonts w:ascii="楷体_GB2312" w:hAnsi="Arial" w:eastAsia="楷体_GB2312"/>
      <w:sz w:val="28"/>
      <w:szCs w:val="28"/>
    </w:rPr>
  </w:style>
  <w:style w:type="character" w:styleId="1017" w:customStyle="1">
    <w:name w:val="页脚 字符1"/>
    <w:uiPriority w:val="99"/>
    <w:qFormat/>
  </w:style>
  <w:style w:type="paragraph" w:styleId="1018" w:customStyle="1">
    <w:name w:val="标题 11"/>
    <w:basedOn w:val="900"/>
    <w:next w:val="900"/>
    <w:qFormat/>
    <w:pPr>
      <w:jc w:val="center"/>
      <w:keepNext/>
      <w:spacing w:after="160" w:line="278" w:lineRule="auto"/>
      <w:outlineLvl w:val="0"/>
    </w:pPr>
    <w:rPr>
      <w:rFonts w:ascii="楷体_GB2312" w:eastAsia="楷体_GB2312"/>
      <w:sz w:val="28"/>
      <w:szCs w:val="28"/>
    </w:rPr>
  </w:style>
  <w:style w:type="paragraph" w:styleId="1019" w:customStyle="1">
    <w:name w:val="页脚1"/>
    <w:basedOn w:val="900"/>
    <w:uiPriority w:val="99"/>
    <w:qFormat/>
    <w:pPr>
      <w:jc w:val="left"/>
      <w:spacing w:after="160" w:line="278" w:lineRule="auto"/>
      <w:tabs>
        <w:tab w:val="center" w:pos="4153" w:leader="none"/>
        <w:tab w:val="right" w:pos="8306" w:leader="none"/>
      </w:tabs>
    </w:pPr>
    <w:rPr>
      <w:sz w:val="18"/>
      <w:szCs w:val="18"/>
    </w:rPr>
  </w:style>
  <w:style w:type="paragraph" w:styleId="1020" w:customStyle="1">
    <w:name w:val="列表段落1"/>
    <w:basedOn w:val="900"/>
    <w:link w:val="1021"/>
    <w:uiPriority w:val="34"/>
    <w:qFormat/>
    <w:pPr>
      <w:contextualSpacing/>
      <w:ind w:left="720"/>
      <w:jc w:val="left"/>
      <w:spacing w:after="160" w:line="278" w:lineRule="auto"/>
      <w:widowControl/>
    </w:pPr>
    <w:rPr>
      <w:rFonts w:ascii="Calibri" w:hAnsi="Calibri"/>
      <w:sz w:val="24"/>
      <w:szCs w:val="24"/>
      <w:lang w:eastAsia="en-US" w:bidi="en-US"/>
    </w:rPr>
  </w:style>
  <w:style w:type="character" w:styleId="1021" w:customStyle="1">
    <w:name w:val="列表段落 字符"/>
    <w:link w:val="1020"/>
    <w:uiPriority w:val="34"/>
    <w:qFormat/>
    <w:rPr>
      <w:sz w:val="24"/>
      <w:szCs w:val="24"/>
      <w:lang w:eastAsia="en-US" w:bidi="en-US"/>
    </w:rPr>
  </w:style>
  <w:style w:type="paragraph" w:styleId="1022" w:customStyle="1">
    <w:name w:val="Default"/>
    <w:uiPriority w:val="99"/>
    <w:qFormat/>
    <w:pPr>
      <w:spacing w:after="160" w:line="278" w:lineRule="auto"/>
      <w:widowControl w:val="off"/>
    </w:pPr>
    <w:rPr>
      <w:rFonts w:ascii="Times New Roman" w:hAnsi="Times New Roman"/>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17</cp:revision>
  <dcterms:created xsi:type="dcterms:W3CDTF">2024-08-28T01:24:00Z</dcterms:created>
  <dcterms:modified xsi:type="dcterms:W3CDTF">2025-09-15T07:22:14Z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CD2C08A0811A403EADCE87297E12FA08_12</vt:lpwstr>
  </property>
</Properties>
</file>